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9F" w:rsidRPr="00CF0501" w:rsidRDefault="00A71B9F">
      <w:pPr>
        <w:pStyle w:val="BodyText"/>
        <w:ind w:left="4071"/>
        <w:rPr>
          <w:rFonts w:ascii="Times New Roman"/>
          <w:sz w:val="20"/>
          <w:szCs w:val="20"/>
        </w:rPr>
      </w:pPr>
    </w:p>
    <w:p w:rsidR="00A71B9F" w:rsidRPr="00CF0501" w:rsidRDefault="00A71B9F">
      <w:pPr>
        <w:pStyle w:val="BodyText"/>
        <w:spacing w:before="3"/>
        <w:rPr>
          <w:rFonts w:ascii="Times New Roman"/>
          <w:sz w:val="20"/>
          <w:szCs w:val="20"/>
        </w:rPr>
      </w:pPr>
    </w:p>
    <w:p w:rsidR="00A71B9F" w:rsidRPr="00CF0501" w:rsidRDefault="00CF0501">
      <w:pPr>
        <w:pStyle w:val="Heading1"/>
        <w:spacing w:before="92"/>
        <w:ind w:left="1338" w:right="1337"/>
        <w:jc w:val="center"/>
        <w:rPr>
          <w:sz w:val="20"/>
          <w:szCs w:val="20"/>
        </w:rPr>
      </w:pPr>
      <w:r w:rsidRPr="00CF0501">
        <w:rPr>
          <w:sz w:val="20"/>
          <w:szCs w:val="20"/>
        </w:rPr>
        <w:t>MINISTRY</w:t>
      </w:r>
    </w:p>
    <w:p w:rsidR="00A71B9F" w:rsidRPr="00CF0501" w:rsidRDefault="00CF0501">
      <w:pPr>
        <w:ind w:left="1338" w:right="1342"/>
        <w:jc w:val="center"/>
        <w:rPr>
          <w:b/>
          <w:sz w:val="20"/>
          <w:szCs w:val="20"/>
        </w:rPr>
      </w:pPr>
      <w:r w:rsidRPr="00CF0501">
        <w:rPr>
          <w:b/>
          <w:sz w:val="20"/>
          <w:szCs w:val="20"/>
        </w:rPr>
        <w:t>COOPERATIVE GOVERNANCE AND TRADITIONAL AFFAIRS REPUBLIC OF SOUTH AFRICA</w:t>
      </w:r>
    </w:p>
    <w:p w:rsidR="00A71B9F" w:rsidRPr="00CF0501" w:rsidRDefault="00A71B9F">
      <w:pPr>
        <w:pStyle w:val="BodyText"/>
        <w:spacing w:before="7"/>
        <w:rPr>
          <w:b/>
          <w:sz w:val="20"/>
          <w:szCs w:val="20"/>
        </w:rPr>
      </w:pPr>
      <w:r w:rsidRPr="00CF0501">
        <w:rPr>
          <w:sz w:val="20"/>
          <w:szCs w:val="20"/>
        </w:rPr>
        <w:pict>
          <v:shape id="_x0000_s1026" style="position:absolute;margin-left:70.6pt;margin-top:15.35pt;width:470.95pt;height:.1pt;z-index:-251658752;mso-wrap-distance-left:0;mso-wrap-distance-right:0;mso-position-horizontal-relative:page" coordorigin="1412,307" coordsize="9419,0" path="m1412,307r9419,e" filled="f" strokeweight=".72pt">
            <v:path arrowok="t"/>
            <w10:wrap type="topAndBottom" anchorx="page"/>
          </v:shape>
        </w:pict>
      </w:r>
    </w:p>
    <w:p w:rsidR="00A71B9F" w:rsidRPr="00CF0501" w:rsidRDefault="00A71B9F">
      <w:pPr>
        <w:pStyle w:val="BodyText"/>
        <w:spacing w:before="4"/>
        <w:rPr>
          <w:b/>
          <w:sz w:val="20"/>
          <w:szCs w:val="20"/>
        </w:rPr>
      </w:pPr>
    </w:p>
    <w:p w:rsidR="00A71B9F" w:rsidRPr="00CF0501" w:rsidRDefault="00CF0501">
      <w:pPr>
        <w:spacing w:before="92" w:line="360" w:lineRule="auto"/>
        <w:ind w:left="2833" w:right="2812" w:firstLine="667"/>
        <w:rPr>
          <w:b/>
          <w:sz w:val="20"/>
          <w:szCs w:val="20"/>
        </w:rPr>
      </w:pPr>
      <w:r w:rsidRPr="00CF0501">
        <w:rPr>
          <w:b/>
          <w:sz w:val="20"/>
          <w:szCs w:val="20"/>
        </w:rPr>
        <w:t>NATIONAL ASSEMBLY QUESTION FOR WRITTEN REPLY QUESTION NUMBER 1300 OF 2020</w:t>
      </w:r>
    </w:p>
    <w:p w:rsidR="00A71B9F" w:rsidRPr="00CF0501" w:rsidRDefault="00A71B9F">
      <w:pPr>
        <w:pStyle w:val="BodyText"/>
        <w:rPr>
          <w:b/>
          <w:sz w:val="20"/>
          <w:szCs w:val="20"/>
        </w:rPr>
      </w:pPr>
    </w:p>
    <w:p w:rsidR="00A71B9F" w:rsidRPr="00CF0501" w:rsidRDefault="00CF0501" w:rsidP="00CF0501">
      <w:pPr>
        <w:spacing w:line="360" w:lineRule="auto"/>
        <w:ind w:left="140" w:right="136"/>
        <w:jc w:val="both"/>
        <w:rPr>
          <w:b/>
          <w:sz w:val="20"/>
          <w:szCs w:val="20"/>
        </w:rPr>
      </w:pPr>
      <w:r w:rsidRPr="00CF0501">
        <w:rPr>
          <w:b/>
          <w:sz w:val="20"/>
          <w:szCs w:val="20"/>
        </w:rPr>
        <w:t xml:space="preserve">1300. </w:t>
      </w:r>
      <w:proofErr w:type="spellStart"/>
      <w:r w:rsidRPr="00CF0501">
        <w:rPr>
          <w:b/>
          <w:sz w:val="20"/>
          <w:szCs w:val="20"/>
        </w:rPr>
        <w:t>Mrs</w:t>
      </w:r>
      <w:proofErr w:type="spellEnd"/>
      <w:r w:rsidRPr="00CF0501">
        <w:rPr>
          <w:b/>
          <w:sz w:val="20"/>
          <w:szCs w:val="20"/>
        </w:rPr>
        <w:t xml:space="preserve"> G </w:t>
      </w:r>
      <w:proofErr w:type="spellStart"/>
      <w:r w:rsidRPr="00CF0501">
        <w:rPr>
          <w:b/>
          <w:sz w:val="20"/>
          <w:szCs w:val="20"/>
        </w:rPr>
        <w:t>Opperman</w:t>
      </w:r>
      <w:proofErr w:type="spellEnd"/>
      <w:r w:rsidRPr="00CF0501">
        <w:rPr>
          <w:b/>
          <w:sz w:val="20"/>
          <w:szCs w:val="20"/>
        </w:rPr>
        <w:t xml:space="preserve"> (DA) to ask the Minister of Cooperative Governance and Traditional Affairs.</w:t>
      </w:r>
    </w:p>
    <w:p w:rsidR="00A71B9F" w:rsidRPr="00CF0501" w:rsidRDefault="00CF0501">
      <w:pPr>
        <w:pStyle w:val="BodyText"/>
        <w:spacing w:before="1" w:line="360" w:lineRule="auto"/>
        <w:ind w:left="140" w:right="136"/>
        <w:jc w:val="both"/>
        <w:rPr>
          <w:sz w:val="20"/>
          <w:szCs w:val="20"/>
        </w:rPr>
      </w:pPr>
      <w:r w:rsidRPr="00CF0501">
        <w:rPr>
          <w:sz w:val="20"/>
          <w:szCs w:val="20"/>
        </w:rPr>
        <w:t>On what statutory provisions does she rely when issuing regulations under the Disaster Management</w:t>
      </w:r>
      <w:r w:rsidRPr="00CF0501">
        <w:rPr>
          <w:spacing w:val="-12"/>
          <w:sz w:val="20"/>
          <w:szCs w:val="20"/>
        </w:rPr>
        <w:t xml:space="preserve"> </w:t>
      </w:r>
      <w:r w:rsidRPr="00CF0501">
        <w:rPr>
          <w:sz w:val="20"/>
          <w:szCs w:val="20"/>
        </w:rPr>
        <w:t>Act,</w:t>
      </w:r>
      <w:r w:rsidRPr="00CF0501">
        <w:rPr>
          <w:spacing w:val="-11"/>
          <w:sz w:val="20"/>
          <w:szCs w:val="20"/>
        </w:rPr>
        <w:t xml:space="preserve"> </w:t>
      </w:r>
      <w:r w:rsidRPr="00CF0501">
        <w:rPr>
          <w:sz w:val="20"/>
          <w:szCs w:val="20"/>
        </w:rPr>
        <w:t>Act</w:t>
      </w:r>
      <w:r w:rsidRPr="00CF0501">
        <w:rPr>
          <w:spacing w:val="-13"/>
          <w:sz w:val="20"/>
          <w:szCs w:val="20"/>
        </w:rPr>
        <w:t xml:space="preserve"> </w:t>
      </w:r>
      <w:r w:rsidRPr="00CF0501">
        <w:rPr>
          <w:sz w:val="20"/>
          <w:szCs w:val="20"/>
        </w:rPr>
        <w:t>57</w:t>
      </w:r>
      <w:r w:rsidRPr="00CF0501">
        <w:rPr>
          <w:spacing w:val="-11"/>
          <w:sz w:val="20"/>
          <w:szCs w:val="20"/>
        </w:rPr>
        <w:t xml:space="preserve"> </w:t>
      </w:r>
      <w:r w:rsidRPr="00CF0501">
        <w:rPr>
          <w:sz w:val="20"/>
          <w:szCs w:val="20"/>
        </w:rPr>
        <w:t>of</w:t>
      </w:r>
      <w:r w:rsidRPr="00CF0501">
        <w:rPr>
          <w:spacing w:val="-9"/>
          <w:sz w:val="20"/>
          <w:szCs w:val="20"/>
        </w:rPr>
        <w:t xml:space="preserve"> </w:t>
      </w:r>
      <w:r w:rsidRPr="00CF0501">
        <w:rPr>
          <w:sz w:val="20"/>
          <w:szCs w:val="20"/>
        </w:rPr>
        <w:t>2002,</w:t>
      </w:r>
      <w:r w:rsidRPr="00CF0501">
        <w:rPr>
          <w:spacing w:val="-11"/>
          <w:sz w:val="20"/>
          <w:szCs w:val="20"/>
        </w:rPr>
        <w:t xml:space="preserve"> </w:t>
      </w:r>
      <w:r w:rsidRPr="00CF0501">
        <w:rPr>
          <w:sz w:val="20"/>
          <w:szCs w:val="20"/>
        </w:rPr>
        <w:t>regarded</w:t>
      </w:r>
      <w:r w:rsidRPr="00CF0501">
        <w:rPr>
          <w:spacing w:val="-11"/>
          <w:sz w:val="20"/>
          <w:szCs w:val="20"/>
        </w:rPr>
        <w:t xml:space="preserve"> </w:t>
      </w:r>
      <w:r w:rsidRPr="00CF0501">
        <w:rPr>
          <w:sz w:val="20"/>
          <w:szCs w:val="20"/>
        </w:rPr>
        <w:t>to</w:t>
      </w:r>
      <w:r w:rsidRPr="00CF0501">
        <w:rPr>
          <w:spacing w:val="-11"/>
          <w:sz w:val="20"/>
          <w:szCs w:val="20"/>
        </w:rPr>
        <w:t xml:space="preserve"> </w:t>
      </w:r>
      <w:r w:rsidRPr="00CF0501">
        <w:rPr>
          <w:sz w:val="20"/>
          <w:szCs w:val="20"/>
        </w:rPr>
        <w:t>(a)</w:t>
      </w:r>
      <w:r w:rsidRPr="00CF0501">
        <w:rPr>
          <w:spacing w:val="-12"/>
          <w:sz w:val="20"/>
          <w:szCs w:val="20"/>
        </w:rPr>
        <w:t xml:space="preserve"> </w:t>
      </w:r>
      <w:r w:rsidRPr="00CF0501">
        <w:rPr>
          <w:sz w:val="20"/>
          <w:szCs w:val="20"/>
        </w:rPr>
        <w:t>supersede</w:t>
      </w:r>
      <w:r w:rsidRPr="00CF0501">
        <w:rPr>
          <w:spacing w:val="-11"/>
          <w:sz w:val="20"/>
          <w:szCs w:val="20"/>
        </w:rPr>
        <w:t xml:space="preserve"> </w:t>
      </w:r>
      <w:r w:rsidRPr="00CF0501">
        <w:rPr>
          <w:sz w:val="20"/>
          <w:szCs w:val="20"/>
        </w:rPr>
        <w:t>any</w:t>
      </w:r>
      <w:r w:rsidRPr="00CF0501">
        <w:rPr>
          <w:spacing w:val="-14"/>
          <w:sz w:val="20"/>
          <w:szCs w:val="20"/>
        </w:rPr>
        <w:t xml:space="preserve"> </w:t>
      </w:r>
      <w:r w:rsidRPr="00CF0501">
        <w:rPr>
          <w:sz w:val="20"/>
          <w:szCs w:val="20"/>
        </w:rPr>
        <w:t>other</w:t>
      </w:r>
      <w:r w:rsidRPr="00CF0501">
        <w:rPr>
          <w:spacing w:val="-12"/>
          <w:sz w:val="20"/>
          <w:szCs w:val="20"/>
        </w:rPr>
        <w:t xml:space="preserve"> </w:t>
      </w:r>
      <w:r w:rsidRPr="00CF0501">
        <w:rPr>
          <w:sz w:val="20"/>
          <w:szCs w:val="20"/>
        </w:rPr>
        <w:t>pro</w:t>
      </w:r>
      <w:r w:rsidRPr="00CF0501">
        <w:rPr>
          <w:sz w:val="20"/>
          <w:szCs w:val="20"/>
        </w:rPr>
        <w:t>visions</w:t>
      </w:r>
      <w:r w:rsidRPr="00CF0501">
        <w:rPr>
          <w:spacing w:val="-12"/>
          <w:sz w:val="20"/>
          <w:szCs w:val="20"/>
        </w:rPr>
        <w:t xml:space="preserve"> </w:t>
      </w:r>
      <w:r w:rsidRPr="00CF0501">
        <w:rPr>
          <w:sz w:val="20"/>
          <w:szCs w:val="20"/>
        </w:rPr>
        <w:t>already codified</w:t>
      </w:r>
      <w:r w:rsidRPr="00CF0501">
        <w:rPr>
          <w:spacing w:val="-15"/>
          <w:sz w:val="20"/>
          <w:szCs w:val="20"/>
        </w:rPr>
        <w:t xml:space="preserve"> </w:t>
      </w:r>
      <w:r w:rsidRPr="00CF0501">
        <w:rPr>
          <w:sz w:val="20"/>
          <w:szCs w:val="20"/>
        </w:rPr>
        <w:t>in</w:t>
      </w:r>
      <w:r w:rsidRPr="00CF0501">
        <w:rPr>
          <w:spacing w:val="-18"/>
          <w:sz w:val="20"/>
          <w:szCs w:val="20"/>
        </w:rPr>
        <w:t xml:space="preserve"> </w:t>
      </w:r>
      <w:r w:rsidRPr="00CF0501">
        <w:rPr>
          <w:sz w:val="20"/>
          <w:szCs w:val="20"/>
        </w:rPr>
        <w:t>the</w:t>
      </w:r>
      <w:r w:rsidRPr="00CF0501">
        <w:rPr>
          <w:spacing w:val="-14"/>
          <w:sz w:val="20"/>
          <w:szCs w:val="20"/>
        </w:rPr>
        <w:t xml:space="preserve"> </w:t>
      </w:r>
      <w:r w:rsidRPr="00CF0501">
        <w:rPr>
          <w:sz w:val="20"/>
          <w:szCs w:val="20"/>
        </w:rPr>
        <w:t>Constitution</w:t>
      </w:r>
      <w:r w:rsidRPr="00CF0501">
        <w:rPr>
          <w:spacing w:val="-15"/>
          <w:sz w:val="20"/>
          <w:szCs w:val="20"/>
        </w:rPr>
        <w:t xml:space="preserve"> </w:t>
      </w:r>
      <w:r w:rsidRPr="00CF0501">
        <w:rPr>
          <w:sz w:val="20"/>
          <w:szCs w:val="20"/>
        </w:rPr>
        <w:t>of</w:t>
      </w:r>
      <w:r w:rsidRPr="00CF0501">
        <w:rPr>
          <w:spacing w:val="-14"/>
          <w:sz w:val="20"/>
          <w:szCs w:val="20"/>
        </w:rPr>
        <w:t xml:space="preserve"> </w:t>
      </w:r>
      <w:r w:rsidRPr="00CF0501">
        <w:rPr>
          <w:sz w:val="20"/>
          <w:szCs w:val="20"/>
        </w:rPr>
        <w:t>the</w:t>
      </w:r>
      <w:r w:rsidRPr="00CF0501">
        <w:rPr>
          <w:spacing w:val="-16"/>
          <w:sz w:val="20"/>
          <w:szCs w:val="20"/>
        </w:rPr>
        <w:t xml:space="preserve"> </w:t>
      </w:r>
      <w:r w:rsidRPr="00CF0501">
        <w:rPr>
          <w:sz w:val="20"/>
          <w:szCs w:val="20"/>
        </w:rPr>
        <w:t>Republic</w:t>
      </w:r>
      <w:r w:rsidRPr="00CF0501">
        <w:rPr>
          <w:spacing w:val="-16"/>
          <w:sz w:val="20"/>
          <w:szCs w:val="20"/>
        </w:rPr>
        <w:t xml:space="preserve"> </w:t>
      </w:r>
      <w:r w:rsidRPr="00CF0501">
        <w:rPr>
          <w:sz w:val="20"/>
          <w:szCs w:val="20"/>
        </w:rPr>
        <w:t>of</w:t>
      </w:r>
      <w:r w:rsidRPr="00CF0501">
        <w:rPr>
          <w:spacing w:val="-16"/>
          <w:sz w:val="20"/>
          <w:szCs w:val="20"/>
        </w:rPr>
        <w:t xml:space="preserve"> </w:t>
      </w:r>
      <w:r w:rsidRPr="00CF0501">
        <w:rPr>
          <w:sz w:val="20"/>
          <w:szCs w:val="20"/>
        </w:rPr>
        <w:t>South</w:t>
      </w:r>
      <w:r w:rsidRPr="00CF0501">
        <w:rPr>
          <w:spacing w:val="-18"/>
          <w:sz w:val="20"/>
          <w:szCs w:val="20"/>
        </w:rPr>
        <w:t xml:space="preserve"> </w:t>
      </w:r>
      <w:r w:rsidRPr="00CF0501">
        <w:rPr>
          <w:sz w:val="20"/>
          <w:szCs w:val="20"/>
        </w:rPr>
        <w:t>Africa,</w:t>
      </w:r>
      <w:r w:rsidRPr="00CF0501">
        <w:rPr>
          <w:spacing w:val="-16"/>
          <w:sz w:val="20"/>
          <w:szCs w:val="20"/>
        </w:rPr>
        <w:t xml:space="preserve"> </w:t>
      </w:r>
      <w:r w:rsidRPr="00CF0501">
        <w:rPr>
          <w:sz w:val="20"/>
          <w:szCs w:val="20"/>
        </w:rPr>
        <w:t>1996,</w:t>
      </w:r>
      <w:r w:rsidRPr="00CF0501">
        <w:rPr>
          <w:spacing w:val="-16"/>
          <w:sz w:val="20"/>
          <w:szCs w:val="20"/>
        </w:rPr>
        <w:t xml:space="preserve"> </w:t>
      </w:r>
      <w:r w:rsidRPr="00CF0501">
        <w:rPr>
          <w:sz w:val="20"/>
          <w:szCs w:val="20"/>
        </w:rPr>
        <w:t>and/or</w:t>
      </w:r>
      <w:r w:rsidRPr="00CF0501">
        <w:rPr>
          <w:spacing w:val="-17"/>
          <w:sz w:val="20"/>
          <w:szCs w:val="20"/>
        </w:rPr>
        <w:t xml:space="preserve"> </w:t>
      </w:r>
      <w:r w:rsidRPr="00CF0501">
        <w:rPr>
          <w:sz w:val="20"/>
          <w:szCs w:val="20"/>
        </w:rPr>
        <w:t>any</w:t>
      </w:r>
      <w:r w:rsidRPr="00CF0501">
        <w:rPr>
          <w:spacing w:val="-19"/>
          <w:sz w:val="20"/>
          <w:szCs w:val="20"/>
        </w:rPr>
        <w:t xml:space="preserve"> </w:t>
      </w:r>
      <w:r w:rsidRPr="00CF0501">
        <w:rPr>
          <w:sz w:val="20"/>
          <w:szCs w:val="20"/>
        </w:rPr>
        <w:t>other</w:t>
      </w:r>
      <w:r w:rsidRPr="00CF0501">
        <w:rPr>
          <w:spacing w:val="-16"/>
          <w:sz w:val="20"/>
          <w:szCs w:val="20"/>
        </w:rPr>
        <w:t xml:space="preserve"> </w:t>
      </w:r>
      <w:r w:rsidRPr="00CF0501">
        <w:rPr>
          <w:sz w:val="20"/>
          <w:szCs w:val="20"/>
        </w:rPr>
        <w:t>existing legislation,</w:t>
      </w:r>
      <w:r w:rsidRPr="00CF0501">
        <w:rPr>
          <w:spacing w:val="-10"/>
          <w:sz w:val="20"/>
          <w:szCs w:val="20"/>
        </w:rPr>
        <w:t xml:space="preserve"> </w:t>
      </w:r>
      <w:r w:rsidRPr="00CF0501">
        <w:rPr>
          <w:sz w:val="20"/>
          <w:szCs w:val="20"/>
        </w:rPr>
        <w:t>including</w:t>
      </w:r>
      <w:r w:rsidRPr="00CF0501">
        <w:rPr>
          <w:spacing w:val="-10"/>
          <w:sz w:val="20"/>
          <w:szCs w:val="20"/>
        </w:rPr>
        <w:t xml:space="preserve"> </w:t>
      </w:r>
      <w:r w:rsidRPr="00CF0501">
        <w:rPr>
          <w:sz w:val="20"/>
          <w:szCs w:val="20"/>
        </w:rPr>
        <w:t>laws</w:t>
      </w:r>
      <w:r w:rsidRPr="00CF0501">
        <w:rPr>
          <w:spacing w:val="-10"/>
          <w:sz w:val="20"/>
          <w:szCs w:val="20"/>
        </w:rPr>
        <w:t xml:space="preserve"> </w:t>
      </w:r>
      <w:r w:rsidRPr="00CF0501">
        <w:rPr>
          <w:sz w:val="20"/>
          <w:szCs w:val="20"/>
        </w:rPr>
        <w:t>that</w:t>
      </w:r>
      <w:r w:rsidRPr="00CF0501">
        <w:rPr>
          <w:spacing w:val="-9"/>
          <w:sz w:val="20"/>
          <w:szCs w:val="20"/>
        </w:rPr>
        <w:t xml:space="preserve"> </w:t>
      </w:r>
      <w:r w:rsidRPr="00CF0501">
        <w:rPr>
          <w:sz w:val="20"/>
          <w:szCs w:val="20"/>
        </w:rPr>
        <w:t>have</w:t>
      </w:r>
      <w:r w:rsidRPr="00CF0501">
        <w:rPr>
          <w:spacing w:val="-8"/>
          <w:sz w:val="20"/>
          <w:szCs w:val="20"/>
        </w:rPr>
        <w:t xml:space="preserve"> </w:t>
      </w:r>
      <w:r w:rsidRPr="00CF0501">
        <w:rPr>
          <w:sz w:val="20"/>
          <w:szCs w:val="20"/>
        </w:rPr>
        <w:t>not</w:t>
      </w:r>
      <w:r w:rsidRPr="00CF0501">
        <w:rPr>
          <w:spacing w:val="-12"/>
          <w:sz w:val="20"/>
          <w:szCs w:val="20"/>
        </w:rPr>
        <w:t xml:space="preserve"> </w:t>
      </w:r>
      <w:r w:rsidRPr="00CF0501">
        <w:rPr>
          <w:sz w:val="20"/>
          <w:szCs w:val="20"/>
        </w:rPr>
        <w:t>been</w:t>
      </w:r>
      <w:r w:rsidRPr="00CF0501">
        <w:rPr>
          <w:spacing w:val="-13"/>
          <w:sz w:val="20"/>
          <w:szCs w:val="20"/>
        </w:rPr>
        <w:t xml:space="preserve"> </w:t>
      </w:r>
      <w:r w:rsidRPr="00CF0501">
        <w:rPr>
          <w:sz w:val="20"/>
          <w:szCs w:val="20"/>
        </w:rPr>
        <w:t>repealed</w:t>
      </w:r>
      <w:r w:rsidRPr="00CF0501">
        <w:rPr>
          <w:spacing w:val="-11"/>
          <w:sz w:val="20"/>
          <w:szCs w:val="20"/>
        </w:rPr>
        <w:t xml:space="preserve"> </w:t>
      </w:r>
      <w:r w:rsidRPr="00CF0501">
        <w:rPr>
          <w:sz w:val="20"/>
          <w:szCs w:val="20"/>
        </w:rPr>
        <w:t>and/or</w:t>
      </w:r>
      <w:r w:rsidRPr="00CF0501">
        <w:rPr>
          <w:spacing w:val="-10"/>
          <w:sz w:val="20"/>
          <w:szCs w:val="20"/>
        </w:rPr>
        <w:t xml:space="preserve"> </w:t>
      </w:r>
      <w:r w:rsidRPr="00CF0501">
        <w:rPr>
          <w:sz w:val="20"/>
          <w:szCs w:val="20"/>
        </w:rPr>
        <w:t>suspended</w:t>
      </w:r>
      <w:r w:rsidRPr="00CF0501">
        <w:rPr>
          <w:spacing w:val="-3"/>
          <w:sz w:val="20"/>
          <w:szCs w:val="20"/>
        </w:rPr>
        <w:t xml:space="preserve"> </w:t>
      </w:r>
      <w:r w:rsidRPr="00CF0501">
        <w:rPr>
          <w:sz w:val="20"/>
          <w:szCs w:val="20"/>
        </w:rPr>
        <w:t>and</w:t>
      </w:r>
      <w:r w:rsidRPr="00CF0501">
        <w:rPr>
          <w:spacing w:val="-8"/>
          <w:sz w:val="20"/>
          <w:szCs w:val="20"/>
        </w:rPr>
        <w:t xml:space="preserve"> </w:t>
      </w:r>
      <w:r w:rsidRPr="00CF0501">
        <w:rPr>
          <w:sz w:val="20"/>
          <w:szCs w:val="20"/>
        </w:rPr>
        <w:t>(b)</w:t>
      </w:r>
      <w:r w:rsidRPr="00CF0501">
        <w:rPr>
          <w:spacing w:val="-11"/>
          <w:sz w:val="20"/>
          <w:szCs w:val="20"/>
        </w:rPr>
        <w:t xml:space="preserve"> </w:t>
      </w:r>
      <w:r w:rsidRPr="00CF0501">
        <w:rPr>
          <w:sz w:val="20"/>
          <w:szCs w:val="20"/>
        </w:rPr>
        <w:t>limit</w:t>
      </w:r>
      <w:r w:rsidRPr="00CF0501">
        <w:rPr>
          <w:spacing w:val="-12"/>
          <w:sz w:val="20"/>
          <w:szCs w:val="20"/>
        </w:rPr>
        <w:t xml:space="preserve"> </w:t>
      </w:r>
      <w:r w:rsidRPr="00CF0501">
        <w:rPr>
          <w:sz w:val="20"/>
          <w:szCs w:val="20"/>
        </w:rPr>
        <w:t>the operation of any provisions already codified in the Constitution and/or any other existing legislation without explicitly making mention of the existing provisions and/or</w:t>
      </w:r>
      <w:r w:rsidRPr="00CF0501">
        <w:rPr>
          <w:spacing w:val="-31"/>
          <w:sz w:val="20"/>
          <w:szCs w:val="20"/>
        </w:rPr>
        <w:t xml:space="preserve"> </w:t>
      </w:r>
      <w:r w:rsidRPr="00CF0501">
        <w:rPr>
          <w:sz w:val="20"/>
          <w:szCs w:val="20"/>
        </w:rPr>
        <w:t>suspending the existing provisions?</w:t>
      </w:r>
      <w:r w:rsidRPr="00CF0501">
        <w:rPr>
          <w:spacing w:val="-4"/>
          <w:sz w:val="20"/>
          <w:szCs w:val="20"/>
        </w:rPr>
        <w:t xml:space="preserve"> </w:t>
      </w:r>
      <w:r w:rsidRPr="00CF0501">
        <w:rPr>
          <w:sz w:val="20"/>
          <w:szCs w:val="20"/>
        </w:rPr>
        <w:t>NW1668E</w:t>
      </w:r>
    </w:p>
    <w:p w:rsidR="00A71B9F" w:rsidRPr="00CF0501" w:rsidRDefault="00CF0501">
      <w:pPr>
        <w:pStyle w:val="Heading1"/>
        <w:spacing w:line="275" w:lineRule="exact"/>
        <w:rPr>
          <w:sz w:val="20"/>
          <w:szCs w:val="20"/>
        </w:rPr>
      </w:pPr>
      <w:r w:rsidRPr="00CF0501">
        <w:rPr>
          <w:sz w:val="20"/>
          <w:szCs w:val="20"/>
        </w:rPr>
        <w:t>Reply:</w:t>
      </w:r>
    </w:p>
    <w:p w:rsidR="00A71B9F" w:rsidRPr="00CF0501" w:rsidRDefault="00CF0501">
      <w:pPr>
        <w:pStyle w:val="BodyText"/>
        <w:spacing w:before="136" w:line="360" w:lineRule="auto"/>
        <w:ind w:left="140" w:right="137"/>
        <w:jc w:val="both"/>
        <w:rPr>
          <w:sz w:val="20"/>
          <w:szCs w:val="20"/>
        </w:rPr>
      </w:pPr>
      <w:r w:rsidRPr="00CF0501">
        <w:rPr>
          <w:sz w:val="20"/>
          <w:szCs w:val="20"/>
        </w:rPr>
        <w:t xml:space="preserve">(a) </w:t>
      </w:r>
      <w:proofErr w:type="gramStart"/>
      <w:r w:rsidRPr="00CF0501">
        <w:rPr>
          <w:sz w:val="20"/>
          <w:szCs w:val="20"/>
        </w:rPr>
        <w:t>and</w:t>
      </w:r>
      <w:proofErr w:type="gramEnd"/>
      <w:r w:rsidRPr="00CF0501">
        <w:rPr>
          <w:sz w:val="20"/>
          <w:szCs w:val="20"/>
        </w:rPr>
        <w:t xml:space="preserve"> (b) Section 36 of the </w:t>
      </w:r>
      <w:r w:rsidRPr="00CF0501">
        <w:rPr>
          <w:sz w:val="20"/>
          <w:szCs w:val="20"/>
        </w:rPr>
        <w:t>Constitution states that certain rights in the Bill of Rights may be limited only in terms of a law. In this regard the Disaster Management Act, 2002 prescribes in Section 26(2</w:t>
      </w:r>
      <w:proofErr w:type="gramStart"/>
      <w:r w:rsidRPr="00CF0501">
        <w:rPr>
          <w:sz w:val="20"/>
          <w:szCs w:val="20"/>
        </w:rPr>
        <w:t>)(</w:t>
      </w:r>
      <w:proofErr w:type="gramEnd"/>
      <w:r w:rsidRPr="00CF0501">
        <w:rPr>
          <w:sz w:val="20"/>
          <w:szCs w:val="20"/>
        </w:rPr>
        <w:t>b) that the national executive, in dealing with a national disaster where a st</w:t>
      </w:r>
      <w:r w:rsidRPr="00CF0501">
        <w:rPr>
          <w:sz w:val="20"/>
          <w:szCs w:val="20"/>
        </w:rPr>
        <w:t>ate of disaster has been declared by the Minister in terms of Section 27(1), must deal with the disaster in terms of existing legislation and contingency arrangements as augmented by regulations or directives made in terms of Section 27(2) of the Act.</w:t>
      </w:r>
    </w:p>
    <w:p w:rsidR="00A71B9F" w:rsidRPr="00CF0501" w:rsidRDefault="00CF0501">
      <w:pPr>
        <w:pStyle w:val="Heading1"/>
        <w:spacing w:before="2"/>
        <w:rPr>
          <w:sz w:val="20"/>
          <w:szCs w:val="20"/>
        </w:rPr>
      </w:pPr>
      <w:r w:rsidRPr="00CF0501">
        <w:rPr>
          <w:sz w:val="20"/>
          <w:szCs w:val="20"/>
        </w:rPr>
        <w:t>End.</w:t>
      </w:r>
    </w:p>
    <w:sectPr w:rsidR="00A71B9F" w:rsidRPr="00CF0501" w:rsidSect="00A71B9F">
      <w:type w:val="continuous"/>
      <w:pgSz w:w="12240" w:h="15840"/>
      <w:pgMar w:top="14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71B9F"/>
    <w:rsid w:val="00A71B9F"/>
    <w:rsid w:val="00CF05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B9F"/>
    <w:rPr>
      <w:rFonts w:ascii="Arial" w:eastAsia="Arial" w:hAnsi="Arial" w:cs="Arial"/>
      <w:lang w:bidi="en-US"/>
    </w:rPr>
  </w:style>
  <w:style w:type="paragraph" w:styleId="Heading1">
    <w:name w:val="heading 1"/>
    <w:basedOn w:val="Normal"/>
    <w:uiPriority w:val="1"/>
    <w:qFormat/>
    <w:rsid w:val="00A71B9F"/>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1B9F"/>
    <w:rPr>
      <w:sz w:val="24"/>
      <w:szCs w:val="24"/>
    </w:rPr>
  </w:style>
  <w:style w:type="paragraph" w:styleId="ListParagraph">
    <w:name w:val="List Paragraph"/>
    <w:basedOn w:val="Normal"/>
    <w:uiPriority w:val="1"/>
    <w:qFormat/>
    <w:rsid w:val="00A71B9F"/>
  </w:style>
  <w:style w:type="paragraph" w:customStyle="1" w:styleId="TableParagraph">
    <w:name w:val="Table Paragraph"/>
    <w:basedOn w:val="Normal"/>
    <w:uiPriority w:val="1"/>
    <w:qFormat/>
    <w:rsid w:val="00A71B9F"/>
  </w:style>
  <w:style w:type="paragraph" w:styleId="BalloonText">
    <w:name w:val="Balloon Text"/>
    <w:basedOn w:val="Normal"/>
    <w:link w:val="BalloonTextChar"/>
    <w:uiPriority w:val="99"/>
    <w:semiHidden/>
    <w:unhideWhenUsed/>
    <w:rsid w:val="00CF0501"/>
    <w:rPr>
      <w:rFonts w:ascii="Tahoma" w:hAnsi="Tahoma" w:cs="Tahoma"/>
      <w:sz w:val="16"/>
      <w:szCs w:val="16"/>
    </w:rPr>
  </w:style>
  <w:style w:type="character" w:customStyle="1" w:styleId="BalloonTextChar">
    <w:name w:val="Balloon Text Char"/>
    <w:basedOn w:val="DefaultParagraphFont"/>
    <w:link w:val="BalloonText"/>
    <w:uiPriority w:val="99"/>
    <w:semiHidden/>
    <w:rsid w:val="00CF0501"/>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Toshiba</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PMG User</cp:lastModifiedBy>
  <cp:revision>2</cp:revision>
  <dcterms:created xsi:type="dcterms:W3CDTF">2020-09-10T06:52:00Z</dcterms:created>
  <dcterms:modified xsi:type="dcterms:W3CDTF">2020-09-10T06:52:00Z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2020-09-10T00:00:00Z</vt:filetime>
  </property>
</Properties>
</file>