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CC" w:rsidRDefault="00FA23CC">
      <w:pPr>
        <w:jc w:val="center"/>
        <w:outlineLvl w:val="0"/>
        <w:rPr>
          <w:rFonts w:ascii="Arial" w:eastAsia="Arial" w:hAnsi="Arial" w:cs="Arial"/>
          <w:b/>
          <w:bCs/>
          <w:sz w:val="22"/>
          <w:szCs w:val="22"/>
          <w:u w:val="single"/>
        </w:rPr>
      </w:pPr>
      <w:bookmarkStart w:id="0" w:name="_GoBack"/>
      <w:bookmarkEnd w:id="0"/>
    </w:p>
    <w:p w:rsidR="00FA23CC" w:rsidRDefault="00FA23CC">
      <w:pPr>
        <w:jc w:val="center"/>
        <w:outlineLvl w:val="0"/>
        <w:rPr>
          <w:rFonts w:ascii="Arial" w:eastAsia="Arial" w:hAnsi="Arial" w:cs="Arial"/>
          <w:b/>
          <w:bCs/>
          <w:sz w:val="22"/>
          <w:szCs w:val="22"/>
        </w:rPr>
      </w:pPr>
    </w:p>
    <w:p w:rsidR="00FA23CC" w:rsidRDefault="00FA23CC">
      <w:pPr>
        <w:jc w:val="center"/>
        <w:outlineLvl w:val="0"/>
        <w:rPr>
          <w:rFonts w:ascii="Arial" w:eastAsia="Arial" w:hAnsi="Arial" w:cs="Arial"/>
          <w:b/>
          <w:bCs/>
          <w:sz w:val="22"/>
          <w:szCs w:val="22"/>
        </w:rPr>
      </w:pPr>
    </w:p>
    <w:p w:rsidR="00FA23CC" w:rsidRDefault="00FA23CC">
      <w:pPr>
        <w:jc w:val="center"/>
        <w:outlineLvl w:val="0"/>
        <w:rPr>
          <w:rFonts w:ascii="Arial" w:eastAsia="Arial" w:hAnsi="Arial" w:cs="Arial"/>
          <w:b/>
          <w:bCs/>
          <w:sz w:val="22"/>
          <w:szCs w:val="22"/>
        </w:rPr>
      </w:pPr>
    </w:p>
    <w:p w:rsidR="00FA23CC" w:rsidRDefault="00FA23CC">
      <w:pPr>
        <w:jc w:val="center"/>
        <w:outlineLvl w:val="0"/>
        <w:rPr>
          <w:rFonts w:ascii="Arial" w:eastAsia="Arial" w:hAnsi="Arial" w:cs="Arial"/>
          <w:b/>
          <w:bCs/>
          <w:sz w:val="22"/>
          <w:szCs w:val="22"/>
        </w:rPr>
      </w:pPr>
    </w:p>
    <w:p w:rsidR="00FA23CC" w:rsidRDefault="00FA23CC">
      <w:pPr>
        <w:jc w:val="center"/>
        <w:outlineLvl w:val="0"/>
        <w:rPr>
          <w:rFonts w:ascii="Arial" w:eastAsia="Arial" w:hAnsi="Arial" w:cs="Arial"/>
          <w:b/>
          <w:bCs/>
          <w:sz w:val="22"/>
          <w:szCs w:val="22"/>
        </w:rPr>
      </w:pPr>
    </w:p>
    <w:p w:rsidR="00FA23CC" w:rsidRDefault="00FA23CC">
      <w:pPr>
        <w:jc w:val="center"/>
        <w:outlineLvl w:val="0"/>
        <w:rPr>
          <w:rFonts w:ascii="Arial" w:eastAsia="Arial" w:hAnsi="Arial" w:cs="Arial"/>
          <w:b/>
          <w:bCs/>
          <w:sz w:val="22"/>
          <w:szCs w:val="22"/>
        </w:rPr>
      </w:pPr>
    </w:p>
    <w:p w:rsidR="00FA23CC" w:rsidRDefault="00FA23CC">
      <w:pPr>
        <w:jc w:val="right"/>
        <w:outlineLvl w:val="0"/>
        <w:rPr>
          <w:rFonts w:ascii="Arial" w:eastAsia="Arial" w:hAnsi="Arial" w:cs="Arial"/>
          <w:b/>
          <w:bCs/>
          <w:color w:val="FF0000"/>
          <w:sz w:val="22"/>
          <w:szCs w:val="22"/>
        </w:rPr>
      </w:pPr>
    </w:p>
    <w:p w:rsidR="00FA23CC" w:rsidRDefault="00FA23CC">
      <w:pPr>
        <w:jc w:val="center"/>
        <w:outlineLvl w:val="0"/>
        <w:rPr>
          <w:rFonts w:ascii="Arial" w:eastAsia="Arial" w:hAnsi="Arial" w:cs="Arial"/>
          <w:b/>
          <w:bCs/>
          <w:color w:val="FF0000"/>
          <w:sz w:val="22"/>
          <w:szCs w:val="22"/>
        </w:rPr>
      </w:pPr>
    </w:p>
    <w:p w:rsidR="00FA23CC" w:rsidRDefault="00FA23CC">
      <w:pPr>
        <w:jc w:val="center"/>
        <w:outlineLvl w:val="0"/>
        <w:rPr>
          <w:rFonts w:ascii="Arial" w:eastAsia="Arial" w:hAnsi="Arial" w:cs="Arial"/>
          <w:b/>
          <w:bCs/>
          <w:color w:val="FF0000"/>
          <w:sz w:val="22"/>
          <w:szCs w:val="22"/>
        </w:rPr>
      </w:pPr>
    </w:p>
    <w:p w:rsidR="00FA23CC" w:rsidRDefault="002E26F0">
      <w:pPr>
        <w:jc w:val="center"/>
        <w:outlineLvl w:val="0"/>
        <w:rPr>
          <w:rFonts w:ascii="Arial" w:eastAsia="Arial" w:hAnsi="Arial" w:cs="Arial"/>
          <w:b/>
          <w:bCs/>
        </w:rPr>
      </w:pPr>
      <w:r>
        <w:rPr>
          <w:rFonts w:ascii="Arial" w:eastAsia="Arial" w:hAnsi="Arial" w:cs="Arial"/>
          <w:b/>
          <w:bCs/>
          <w:noProof/>
          <w:lang w:val="en-ZA"/>
        </w:rPr>
        <w:drawing>
          <wp:anchor distT="50800" distB="50800" distL="50800" distR="50800" simplePos="0" relativeHeight="251659264" behindDoc="0" locked="0" layoutInCell="1" allowOverlap="1">
            <wp:simplePos x="0" y="0"/>
            <wp:positionH relativeFrom="page">
              <wp:posOffset>1323340</wp:posOffset>
            </wp:positionH>
            <wp:positionV relativeFrom="page">
              <wp:posOffset>181610</wp:posOffset>
            </wp:positionV>
            <wp:extent cx="5124450" cy="2322830"/>
            <wp:effectExtent l="0" t="0" r="0" b="0"/>
            <wp:wrapThrough wrapText="bothSides" distL="50800" distR="508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rcRect l="13604" t="5807" r="13362" b="70718"/>
                    <a:stretch>
                      <a:fillRect/>
                    </a:stretch>
                  </pic:blipFill>
                  <pic:spPr>
                    <a:xfrm>
                      <a:off x="0" y="0"/>
                      <a:ext cx="5124450" cy="2322830"/>
                    </a:xfrm>
                    <a:prstGeom prst="rect">
                      <a:avLst/>
                    </a:prstGeom>
                    <a:ln w="12700" cap="flat">
                      <a:noFill/>
                      <a:miter lim="400000"/>
                    </a:ln>
                    <a:effectLst/>
                  </pic:spPr>
                </pic:pic>
              </a:graphicData>
            </a:graphic>
          </wp:anchor>
        </w:drawing>
      </w:r>
      <w:r>
        <w:rPr>
          <w:rFonts w:ascii="Arial" w:hAnsi="Arial"/>
          <w:b/>
          <w:bCs/>
        </w:rPr>
        <w:t>NATIONAL ASSEMBLY</w:t>
      </w:r>
    </w:p>
    <w:p w:rsidR="00FA23CC" w:rsidRDefault="00FA23CC">
      <w:pPr>
        <w:outlineLvl w:val="0"/>
        <w:rPr>
          <w:rFonts w:ascii="Arial" w:eastAsia="Arial" w:hAnsi="Arial" w:cs="Arial"/>
          <w:b/>
          <w:bCs/>
        </w:rPr>
      </w:pPr>
    </w:p>
    <w:p w:rsidR="00FA23CC" w:rsidRDefault="002E26F0" w:rsidP="003D6B42">
      <w:pPr>
        <w:spacing w:line="276" w:lineRule="auto"/>
        <w:jc w:val="both"/>
        <w:outlineLvl w:val="0"/>
        <w:rPr>
          <w:rFonts w:ascii="Arial" w:hAnsi="Arial" w:cs="Arial"/>
          <w:b/>
          <w:bCs/>
        </w:rPr>
      </w:pPr>
      <w:r w:rsidRPr="00047714">
        <w:rPr>
          <w:rFonts w:ascii="Arial" w:hAnsi="Arial" w:cs="Arial"/>
          <w:b/>
          <w:bCs/>
        </w:rPr>
        <w:t>WRITTEN REPLY</w:t>
      </w:r>
    </w:p>
    <w:p w:rsidR="00047714" w:rsidRPr="00047714" w:rsidRDefault="00047714" w:rsidP="003D6B42">
      <w:pPr>
        <w:spacing w:line="276" w:lineRule="auto"/>
        <w:jc w:val="both"/>
        <w:outlineLvl w:val="0"/>
        <w:rPr>
          <w:rFonts w:ascii="Arial" w:eastAsia="Arial" w:hAnsi="Arial" w:cs="Arial"/>
          <w:b/>
          <w:bCs/>
        </w:rPr>
      </w:pPr>
    </w:p>
    <w:p w:rsidR="00FA23CC" w:rsidRDefault="002E26F0" w:rsidP="003D6B42">
      <w:pPr>
        <w:spacing w:line="276" w:lineRule="auto"/>
        <w:jc w:val="both"/>
        <w:outlineLvl w:val="0"/>
        <w:rPr>
          <w:rFonts w:ascii="Arial" w:hAnsi="Arial" w:cs="Arial"/>
          <w:b/>
          <w:bCs/>
        </w:rPr>
      </w:pPr>
      <w:r w:rsidRPr="00047714">
        <w:rPr>
          <w:rFonts w:ascii="Arial" w:hAnsi="Arial" w:cs="Arial"/>
          <w:b/>
          <w:bCs/>
        </w:rPr>
        <w:t xml:space="preserve">PARLIAMENTARY QUESTION NO </w:t>
      </w:r>
      <w:r w:rsidR="00313A4B">
        <w:rPr>
          <w:rFonts w:ascii="Arial" w:hAnsi="Arial" w:cs="Arial"/>
          <w:b/>
          <w:bCs/>
        </w:rPr>
        <w:t>1300</w:t>
      </w:r>
    </w:p>
    <w:p w:rsidR="00047714" w:rsidRPr="00047714" w:rsidRDefault="00047714" w:rsidP="003D6B42">
      <w:pPr>
        <w:spacing w:line="276" w:lineRule="auto"/>
        <w:jc w:val="both"/>
        <w:outlineLvl w:val="0"/>
        <w:rPr>
          <w:rFonts w:ascii="Arial" w:eastAsia="Arial" w:hAnsi="Arial" w:cs="Arial"/>
          <w:b/>
          <w:bCs/>
        </w:rPr>
      </w:pPr>
    </w:p>
    <w:p w:rsidR="00FA23CC" w:rsidRPr="00305473" w:rsidRDefault="002E26F0" w:rsidP="003D6B42">
      <w:pPr>
        <w:spacing w:line="276" w:lineRule="auto"/>
        <w:jc w:val="both"/>
        <w:outlineLvl w:val="0"/>
        <w:rPr>
          <w:rFonts w:ascii="Arial" w:eastAsia="Arial" w:hAnsi="Arial" w:cs="Arial"/>
          <w:b/>
          <w:bCs/>
        </w:rPr>
      </w:pPr>
      <w:r w:rsidRPr="00305473">
        <w:rPr>
          <w:rFonts w:ascii="Arial" w:hAnsi="Arial" w:cs="Arial"/>
          <w:b/>
          <w:bCs/>
        </w:rPr>
        <w:t xml:space="preserve">DATE OF PUBLICATION: </w:t>
      </w:r>
      <w:r w:rsidR="00305473" w:rsidRPr="00305473">
        <w:rPr>
          <w:rFonts w:ascii="Arial" w:hAnsi="Arial" w:cs="Arial"/>
          <w:b/>
          <w:bCs/>
        </w:rPr>
        <w:t xml:space="preserve">6 May </w:t>
      </w:r>
      <w:r w:rsidR="00047714" w:rsidRPr="00305473">
        <w:rPr>
          <w:rFonts w:ascii="Arial" w:hAnsi="Arial" w:cs="Arial"/>
          <w:b/>
          <w:bCs/>
        </w:rPr>
        <w:t>2016</w:t>
      </w:r>
    </w:p>
    <w:p w:rsidR="00313A4B" w:rsidRPr="00313A4B" w:rsidRDefault="00313A4B" w:rsidP="00313A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hAnsi="Arial" w:cs="Arial"/>
          <w:color w:val="auto"/>
          <w:bdr w:val="none" w:sz="0" w:space="0" w:color="auto"/>
          <w:lang w:val="en-ZA"/>
        </w:rPr>
      </w:pPr>
      <w:r w:rsidRPr="00313A4B">
        <w:rPr>
          <w:rFonts w:ascii="Arial" w:hAnsi="Arial" w:cs="Arial"/>
          <w:b/>
          <w:bCs/>
          <w:color w:val="auto"/>
          <w:bdr w:val="none" w:sz="0" w:space="0" w:color="auto"/>
          <w:lang w:val="en-GB"/>
        </w:rPr>
        <w:t xml:space="preserve">Dr M J </w:t>
      </w:r>
      <w:proofErr w:type="spellStart"/>
      <w:r w:rsidRPr="00313A4B">
        <w:rPr>
          <w:rFonts w:ascii="Arial" w:hAnsi="Arial" w:cs="Arial"/>
          <w:b/>
          <w:bCs/>
          <w:color w:val="auto"/>
          <w:bdr w:val="none" w:sz="0" w:space="0" w:color="auto"/>
          <w:lang w:val="en-GB"/>
        </w:rPr>
        <w:t>Cardo</w:t>
      </w:r>
      <w:proofErr w:type="spellEnd"/>
      <w:r w:rsidRPr="00313A4B">
        <w:rPr>
          <w:rFonts w:ascii="Arial" w:hAnsi="Arial" w:cs="Arial"/>
          <w:b/>
          <w:bCs/>
          <w:color w:val="auto"/>
          <w:bdr w:val="none" w:sz="0" w:space="0" w:color="auto"/>
          <w:lang w:val="en-GB"/>
        </w:rPr>
        <w:t xml:space="preserve"> (DA) to ask the Minister of Economic Development:</w:t>
      </w:r>
    </w:p>
    <w:p w:rsidR="00313A4B" w:rsidRPr="00313A4B" w:rsidRDefault="00313A4B" w:rsidP="00313A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hAnsi="Arial" w:cs="Arial"/>
          <w:color w:val="auto"/>
          <w:bdr w:val="none" w:sz="0" w:space="0" w:color="auto"/>
          <w:lang w:val="en-ZA"/>
        </w:rPr>
      </w:pPr>
      <w:r w:rsidRPr="00313A4B">
        <w:rPr>
          <w:rFonts w:ascii="Arial" w:hAnsi="Arial" w:cs="Arial"/>
          <w:color w:val="auto"/>
          <w:bdr w:val="none" w:sz="0" w:space="0" w:color="auto"/>
          <w:lang w:val="en-GB"/>
        </w:rPr>
        <w:t xml:space="preserve">What (a) political and (b) commercial considerations led the Industrial Development Corporation (IDC) to strike a </w:t>
      </w:r>
      <w:r w:rsidRPr="00313A4B">
        <w:rPr>
          <w:rFonts w:ascii="Arial" w:hAnsi="Arial" w:cs="Arial"/>
          <w:bdr w:val="none" w:sz="0" w:space="0" w:color="auto"/>
          <w:lang w:val="en-GB"/>
        </w:rPr>
        <w:t>restructuring</w:t>
      </w:r>
      <w:r w:rsidRPr="00313A4B">
        <w:rPr>
          <w:rFonts w:ascii="Arial" w:hAnsi="Arial" w:cs="Arial"/>
          <w:color w:val="auto"/>
          <w:bdr w:val="none" w:sz="0" w:space="0" w:color="auto"/>
          <w:lang w:val="en-GB"/>
        </w:rPr>
        <w:t xml:space="preserve"> deal with a certain company at a reduced interest rate of prime plus 2% given that the specified company defaulted on its first R250 billion loan to the IDC?                                                             NW1448E</w:t>
      </w:r>
    </w:p>
    <w:p w:rsidR="00313A4B" w:rsidRDefault="00313A4B">
      <w:pPr>
        <w:pStyle w:val="ListParagraph"/>
        <w:spacing w:line="360" w:lineRule="auto"/>
        <w:ind w:left="569" w:hanging="569"/>
        <w:jc w:val="both"/>
        <w:rPr>
          <w:rFonts w:ascii="Arial" w:hAnsi="Arial" w:cs="Arial"/>
          <w:b/>
          <w:bCs/>
        </w:rPr>
      </w:pPr>
    </w:p>
    <w:p w:rsidR="00FA23CC" w:rsidRPr="00313A4B" w:rsidRDefault="002E26F0">
      <w:pPr>
        <w:pStyle w:val="ListParagraph"/>
        <w:spacing w:line="360" w:lineRule="auto"/>
        <w:ind w:left="569" w:hanging="569"/>
        <w:jc w:val="both"/>
        <w:rPr>
          <w:rFonts w:ascii="Arial" w:eastAsia="Arial" w:hAnsi="Arial" w:cs="Arial"/>
          <w:b/>
          <w:bCs/>
        </w:rPr>
      </w:pPr>
      <w:r w:rsidRPr="00313A4B">
        <w:rPr>
          <w:rFonts w:ascii="Arial" w:hAnsi="Arial" w:cs="Arial"/>
          <w:b/>
          <w:bCs/>
        </w:rPr>
        <w:t>REPLY</w:t>
      </w:r>
    </w:p>
    <w:p w:rsidR="00FA23CC" w:rsidRPr="00313A4B" w:rsidRDefault="00FA23CC" w:rsidP="00666217">
      <w:pPr>
        <w:jc w:val="both"/>
        <w:rPr>
          <w:rFonts w:ascii="Arial" w:eastAsia="Arial" w:hAnsi="Arial" w:cs="Arial"/>
          <w:b/>
          <w:bCs/>
        </w:rPr>
      </w:pPr>
    </w:p>
    <w:p w:rsidR="003C071C" w:rsidRDefault="00F33099" w:rsidP="006F46DA">
      <w:pPr>
        <w:spacing w:line="276" w:lineRule="auto"/>
        <w:jc w:val="both"/>
        <w:rPr>
          <w:rFonts w:ascii="Arial" w:hAnsi="Arial" w:cs="Arial"/>
          <w:iCs/>
        </w:rPr>
      </w:pPr>
      <w:r>
        <w:rPr>
          <w:rFonts w:ascii="Arial" w:hAnsi="Arial" w:cs="Arial"/>
          <w:iCs/>
        </w:rPr>
        <w:t xml:space="preserve">I have been furnished with a statement by the CEO of the Industrial Development Corporation, </w:t>
      </w:r>
      <w:proofErr w:type="spellStart"/>
      <w:r>
        <w:rPr>
          <w:rFonts w:ascii="Arial" w:hAnsi="Arial" w:cs="Arial"/>
          <w:iCs/>
        </w:rPr>
        <w:t>Mr</w:t>
      </w:r>
      <w:proofErr w:type="spellEnd"/>
      <w:r>
        <w:rPr>
          <w:rFonts w:ascii="Arial" w:hAnsi="Arial" w:cs="Arial"/>
          <w:iCs/>
        </w:rPr>
        <w:t xml:space="preserve"> Geoffrey </w:t>
      </w:r>
      <w:proofErr w:type="spellStart"/>
      <w:r>
        <w:rPr>
          <w:rFonts w:ascii="Arial" w:hAnsi="Arial" w:cs="Arial"/>
          <w:iCs/>
        </w:rPr>
        <w:t>Qhena</w:t>
      </w:r>
      <w:proofErr w:type="spellEnd"/>
      <w:r>
        <w:rPr>
          <w:rFonts w:ascii="Arial" w:hAnsi="Arial" w:cs="Arial"/>
          <w:iCs/>
        </w:rPr>
        <w:t xml:space="preserve">, on the matters covered by the question. </w:t>
      </w:r>
    </w:p>
    <w:p w:rsidR="00B1493D" w:rsidRDefault="00B1493D" w:rsidP="006F46DA">
      <w:pPr>
        <w:spacing w:line="276" w:lineRule="auto"/>
        <w:jc w:val="both"/>
        <w:rPr>
          <w:rFonts w:ascii="Arial" w:hAnsi="Arial" w:cs="Arial"/>
          <w:iCs/>
        </w:rPr>
      </w:pPr>
    </w:p>
    <w:p w:rsidR="00F33099" w:rsidRDefault="00F33099" w:rsidP="006F46DA">
      <w:pPr>
        <w:spacing w:line="276" w:lineRule="auto"/>
        <w:jc w:val="both"/>
        <w:rPr>
          <w:rFonts w:ascii="Arial" w:hAnsi="Arial" w:cs="Arial"/>
          <w:iCs/>
        </w:rPr>
      </w:pPr>
      <w:r>
        <w:rPr>
          <w:rFonts w:ascii="Arial" w:hAnsi="Arial" w:cs="Arial"/>
          <w:iCs/>
        </w:rPr>
        <w:t xml:space="preserve">The statement </w:t>
      </w:r>
      <w:r w:rsidR="00382DE3">
        <w:rPr>
          <w:rFonts w:ascii="Arial" w:hAnsi="Arial" w:cs="Arial"/>
          <w:iCs/>
        </w:rPr>
        <w:t xml:space="preserve">by the IDC </w:t>
      </w:r>
      <w:r>
        <w:rPr>
          <w:rFonts w:ascii="Arial" w:hAnsi="Arial" w:cs="Arial"/>
          <w:iCs/>
        </w:rPr>
        <w:t>follows:</w:t>
      </w:r>
    </w:p>
    <w:p w:rsidR="001E3DC9" w:rsidRPr="001E3DC9" w:rsidRDefault="001E3DC9" w:rsidP="006F46DA">
      <w:pPr>
        <w:tabs>
          <w:tab w:val="left" w:pos="1470"/>
        </w:tabs>
        <w:spacing w:line="276" w:lineRule="auto"/>
        <w:jc w:val="both"/>
        <w:rPr>
          <w:rFonts w:ascii="Arial" w:hAnsi="Arial" w:cs="Arial"/>
          <w:noProof/>
          <w:szCs w:val="22"/>
        </w:rPr>
      </w:pPr>
    </w:p>
    <w:p w:rsidR="001E3DC9" w:rsidRPr="001E3DC9" w:rsidRDefault="001E3DC9" w:rsidP="006F46DA">
      <w:pPr>
        <w:spacing w:line="276" w:lineRule="auto"/>
        <w:ind w:right="120"/>
        <w:jc w:val="both"/>
        <w:rPr>
          <w:rFonts w:ascii="Arial" w:hAnsi="Arial" w:cs="Arial"/>
          <w:szCs w:val="22"/>
        </w:rPr>
      </w:pPr>
      <w:r>
        <w:rPr>
          <w:rFonts w:ascii="Arial" w:hAnsi="Arial" w:cs="Arial"/>
          <w:iCs/>
          <w:szCs w:val="22"/>
        </w:rPr>
        <w:t>“(</w:t>
      </w:r>
      <w:r w:rsidRPr="001E3DC9">
        <w:rPr>
          <w:rFonts w:ascii="Arial" w:hAnsi="Arial" w:cs="Arial"/>
          <w:iCs/>
          <w:szCs w:val="22"/>
        </w:rPr>
        <w:t>A)</w:t>
      </w:r>
      <w:r w:rsidRPr="001E3DC9">
        <w:rPr>
          <w:rFonts w:ascii="Arial" w:hAnsi="Arial" w:cs="Arial"/>
          <w:iCs/>
          <w:szCs w:val="22"/>
        </w:rPr>
        <w:tab/>
      </w:r>
      <w:proofErr w:type="gramStart"/>
      <w:r w:rsidRPr="001E3DC9">
        <w:rPr>
          <w:rFonts w:ascii="Arial" w:hAnsi="Arial" w:cs="Arial"/>
          <w:iCs/>
          <w:szCs w:val="22"/>
        </w:rPr>
        <w:t>There</w:t>
      </w:r>
      <w:proofErr w:type="gramEnd"/>
      <w:r w:rsidRPr="001E3DC9">
        <w:rPr>
          <w:rFonts w:ascii="Arial" w:hAnsi="Arial" w:cs="Arial"/>
          <w:iCs/>
          <w:szCs w:val="22"/>
        </w:rPr>
        <w:t xml:space="preserve"> were no political considerations associated with the restructure;</w:t>
      </w:r>
    </w:p>
    <w:p w:rsidR="001E3DC9" w:rsidRPr="001E3DC9" w:rsidRDefault="001E3DC9" w:rsidP="006F46DA">
      <w:pPr>
        <w:spacing w:line="276" w:lineRule="auto"/>
        <w:ind w:left="720" w:right="120" w:hanging="720"/>
        <w:jc w:val="both"/>
        <w:rPr>
          <w:rFonts w:ascii="Arial" w:hAnsi="Arial" w:cs="Arial"/>
          <w:iCs/>
          <w:szCs w:val="22"/>
        </w:rPr>
      </w:pPr>
      <w:r>
        <w:rPr>
          <w:rFonts w:ascii="Arial" w:hAnsi="Arial" w:cs="Arial"/>
          <w:iCs/>
          <w:szCs w:val="22"/>
        </w:rPr>
        <w:t xml:space="preserve"> (</w:t>
      </w:r>
      <w:r w:rsidRPr="001E3DC9">
        <w:rPr>
          <w:rFonts w:ascii="Arial" w:hAnsi="Arial" w:cs="Arial"/>
          <w:iCs/>
          <w:szCs w:val="22"/>
        </w:rPr>
        <w:t>B)</w:t>
      </w:r>
      <w:r w:rsidRPr="001E3DC9">
        <w:rPr>
          <w:rFonts w:ascii="Arial" w:hAnsi="Arial" w:cs="Arial"/>
          <w:iCs/>
          <w:szCs w:val="22"/>
        </w:rPr>
        <w:tab/>
        <w:t>The restructuring was done purely on commercial terms as set out below;</w:t>
      </w:r>
    </w:p>
    <w:p w:rsidR="001E3DC9" w:rsidRPr="001E3DC9" w:rsidRDefault="001E3DC9" w:rsidP="006F46DA">
      <w:pPr>
        <w:spacing w:line="276" w:lineRule="auto"/>
        <w:ind w:left="720" w:right="120" w:hanging="720"/>
        <w:jc w:val="both"/>
        <w:rPr>
          <w:rFonts w:ascii="Arial" w:hAnsi="Arial" w:cs="Arial"/>
          <w:iCs/>
          <w:szCs w:val="22"/>
        </w:rPr>
      </w:pPr>
      <w:r>
        <w:rPr>
          <w:rFonts w:ascii="Arial" w:hAnsi="Arial" w:cs="Arial"/>
          <w:iCs/>
          <w:szCs w:val="22"/>
        </w:rPr>
        <w:t xml:space="preserve"> (</w:t>
      </w:r>
      <w:r w:rsidRPr="001E3DC9">
        <w:rPr>
          <w:rFonts w:ascii="Arial" w:hAnsi="Arial" w:cs="Arial"/>
          <w:iCs/>
          <w:szCs w:val="22"/>
        </w:rPr>
        <w:t>C)</w:t>
      </w:r>
      <w:r w:rsidRPr="001E3DC9">
        <w:rPr>
          <w:rFonts w:ascii="Arial" w:hAnsi="Arial" w:cs="Arial"/>
          <w:iCs/>
          <w:szCs w:val="22"/>
        </w:rPr>
        <w:tab/>
        <w:t>Point of correction – the amount is R250 million and not R250 billion.</w:t>
      </w:r>
    </w:p>
    <w:p w:rsidR="001E3DC9" w:rsidRPr="001E3DC9" w:rsidRDefault="001E3DC9" w:rsidP="006F46DA">
      <w:pPr>
        <w:spacing w:line="276" w:lineRule="auto"/>
        <w:ind w:left="720" w:right="120" w:hanging="720"/>
        <w:jc w:val="both"/>
        <w:rPr>
          <w:rFonts w:ascii="Arial" w:hAnsi="Arial" w:cs="Arial"/>
          <w:iCs/>
          <w:szCs w:val="22"/>
        </w:rPr>
      </w:pPr>
    </w:p>
    <w:p w:rsidR="001E3DC9" w:rsidRPr="001E3DC9" w:rsidRDefault="001E3DC9" w:rsidP="006F46DA">
      <w:pPr>
        <w:spacing w:line="276" w:lineRule="auto"/>
        <w:ind w:right="120"/>
        <w:jc w:val="both"/>
        <w:rPr>
          <w:rFonts w:ascii="Arial" w:hAnsi="Arial" w:cs="Arial"/>
          <w:iCs/>
          <w:szCs w:val="22"/>
        </w:rPr>
      </w:pPr>
      <w:r w:rsidRPr="001E3DC9">
        <w:rPr>
          <w:rFonts w:ascii="Arial" w:hAnsi="Arial" w:cs="Arial"/>
          <w:iCs/>
          <w:szCs w:val="22"/>
        </w:rPr>
        <w:t>The original R250 million loan is expected to be fully repaid, as R137</w:t>
      </w:r>
      <w:proofErr w:type="gramStart"/>
      <w:r w:rsidRPr="001E3DC9">
        <w:rPr>
          <w:rFonts w:ascii="Arial" w:hAnsi="Arial" w:cs="Arial"/>
          <w:iCs/>
          <w:szCs w:val="22"/>
        </w:rPr>
        <w:t>,5</w:t>
      </w:r>
      <w:proofErr w:type="gramEnd"/>
      <w:r w:rsidRPr="001E3DC9">
        <w:rPr>
          <w:rFonts w:ascii="Arial" w:hAnsi="Arial" w:cs="Arial"/>
          <w:iCs/>
          <w:szCs w:val="22"/>
        </w:rPr>
        <w:t xml:space="preserve"> million has already being received to date and R112,5 million is outstanding as at 30 April 2016.  The next </w:t>
      </w:r>
      <w:proofErr w:type="spellStart"/>
      <w:r w:rsidRPr="001E3DC9">
        <w:rPr>
          <w:rFonts w:ascii="Arial" w:hAnsi="Arial" w:cs="Arial"/>
          <w:iCs/>
          <w:szCs w:val="22"/>
        </w:rPr>
        <w:t>instalment</w:t>
      </w:r>
      <w:proofErr w:type="spellEnd"/>
      <w:r w:rsidRPr="001E3DC9">
        <w:rPr>
          <w:rFonts w:ascii="Arial" w:hAnsi="Arial" w:cs="Arial"/>
          <w:iCs/>
          <w:szCs w:val="22"/>
        </w:rPr>
        <w:t xml:space="preserve"> of R37</w:t>
      </w:r>
      <w:proofErr w:type="gramStart"/>
      <w:r w:rsidRPr="001E3DC9">
        <w:rPr>
          <w:rFonts w:ascii="Arial" w:hAnsi="Arial" w:cs="Arial"/>
          <w:iCs/>
          <w:szCs w:val="22"/>
        </w:rPr>
        <w:t>,5</w:t>
      </w:r>
      <w:proofErr w:type="gramEnd"/>
      <w:r w:rsidRPr="001E3DC9">
        <w:rPr>
          <w:rFonts w:ascii="Arial" w:hAnsi="Arial" w:cs="Arial"/>
          <w:iCs/>
          <w:szCs w:val="22"/>
        </w:rPr>
        <w:t> million is payable by end of June 2016, with intention of the full capital being repaid by 31 March 2018.</w:t>
      </w:r>
    </w:p>
    <w:p w:rsidR="001E3DC9" w:rsidRPr="001E3DC9" w:rsidRDefault="001E3DC9" w:rsidP="006F46DA">
      <w:pPr>
        <w:spacing w:line="276" w:lineRule="auto"/>
        <w:ind w:right="120"/>
        <w:jc w:val="both"/>
        <w:rPr>
          <w:rFonts w:ascii="Arial" w:hAnsi="Arial" w:cs="Arial"/>
          <w:iCs/>
          <w:szCs w:val="22"/>
        </w:rPr>
      </w:pPr>
    </w:p>
    <w:p w:rsidR="001E3DC9" w:rsidRPr="001E3DC9" w:rsidRDefault="001E3DC9" w:rsidP="006F46DA">
      <w:pPr>
        <w:spacing w:line="276" w:lineRule="auto"/>
        <w:ind w:right="120"/>
        <w:jc w:val="both"/>
        <w:rPr>
          <w:rFonts w:ascii="Arial" w:hAnsi="Arial" w:cs="Arial"/>
          <w:iCs/>
          <w:szCs w:val="22"/>
        </w:rPr>
      </w:pPr>
      <w:r w:rsidRPr="001E3DC9">
        <w:rPr>
          <w:rFonts w:ascii="Arial" w:hAnsi="Arial" w:cs="Arial"/>
          <w:iCs/>
          <w:szCs w:val="22"/>
        </w:rPr>
        <w:lastRenderedPageBreak/>
        <w:t>The interest of R257 million being from 14 April 2010 to 31 May 2014 (the date on which the amount converted was determined) was converted into shares when the entity was listed (at a 10% discount to the listing price).</w:t>
      </w:r>
    </w:p>
    <w:p w:rsidR="001E3DC9" w:rsidRPr="001E3DC9" w:rsidRDefault="001E3DC9" w:rsidP="006F46DA">
      <w:pPr>
        <w:spacing w:line="276" w:lineRule="auto"/>
        <w:ind w:right="120"/>
        <w:jc w:val="both"/>
        <w:rPr>
          <w:rFonts w:ascii="Arial" w:hAnsi="Arial" w:cs="Arial"/>
          <w:iCs/>
          <w:szCs w:val="22"/>
        </w:rPr>
      </w:pPr>
    </w:p>
    <w:p w:rsidR="001E3DC9" w:rsidRPr="001E3DC9" w:rsidRDefault="001E3DC9" w:rsidP="006F46DA">
      <w:pPr>
        <w:spacing w:line="276" w:lineRule="auto"/>
        <w:ind w:right="120"/>
        <w:jc w:val="both"/>
        <w:rPr>
          <w:rFonts w:ascii="Arial" w:hAnsi="Arial" w:cs="Arial"/>
          <w:iCs/>
          <w:szCs w:val="22"/>
        </w:rPr>
      </w:pPr>
      <w:r w:rsidRPr="001E3DC9">
        <w:rPr>
          <w:rFonts w:ascii="Arial" w:hAnsi="Arial" w:cs="Arial"/>
          <w:iCs/>
          <w:szCs w:val="22"/>
        </w:rPr>
        <w:t xml:space="preserve">The additional interest (after conversion) of prime plus 2% will be repaid as a lump sum on 31 March 2018. </w:t>
      </w:r>
    </w:p>
    <w:p w:rsidR="001E3DC9" w:rsidRPr="001E3DC9" w:rsidRDefault="001E3DC9" w:rsidP="006F46DA">
      <w:pPr>
        <w:spacing w:line="276" w:lineRule="auto"/>
        <w:ind w:left="720" w:right="120" w:hanging="720"/>
        <w:jc w:val="both"/>
        <w:rPr>
          <w:rFonts w:ascii="Arial" w:hAnsi="Arial" w:cs="Arial"/>
          <w:szCs w:val="22"/>
        </w:rPr>
      </w:pPr>
    </w:p>
    <w:p w:rsidR="001E3DC9" w:rsidRPr="001E3DC9" w:rsidRDefault="001E3DC9" w:rsidP="006F46DA">
      <w:pPr>
        <w:spacing w:line="276" w:lineRule="auto"/>
        <w:jc w:val="both"/>
        <w:rPr>
          <w:rFonts w:ascii="Arial" w:hAnsi="Arial" w:cs="Arial"/>
          <w:iCs/>
          <w:szCs w:val="22"/>
        </w:rPr>
      </w:pPr>
      <w:r w:rsidRPr="001E3DC9">
        <w:rPr>
          <w:rFonts w:ascii="Arial" w:hAnsi="Arial" w:cs="Arial"/>
          <w:iCs/>
          <w:szCs w:val="22"/>
        </w:rPr>
        <w:t>The risk profile of the company at the time of our initial investment compared to the risk profile of the company at the time of restructuring differed materially. At the time of the acquisition, the mine was under care and maintenance and the company was not generating any revenue which needed to be brought back into production.  The turnaround</w:t>
      </w:r>
      <w:r w:rsidRPr="001E3DC9">
        <w:rPr>
          <w:rFonts w:ascii="Arial" w:hAnsi="Arial" w:cs="Arial"/>
          <w:iCs/>
          <w:spacing w:val="48"/>
          <w:szCs w:val="22"/>
        </w:rPr>
        <w:t xml:space="preserve"> </w:t>
      </w:r>
      <w:r w:rsidRPr="001E3DC9">
        <w:rPr>
          <w:rFonts w:ascii="Arial" w:hAnsi="Arial" w:cs="Arial"/>
          <w:iCs/>
          <w:szCs w:val="22"/>
        </w:rPr>
        <w:t>strategy of the company</w:t>
      </w:r>
      <w:r w:rsidRPr="001E3DC9">
        <w:rPr>
          <w:rFonts w:ascii="Arial" w:hAnsi="Arial" w:cs="Arial"/>
          <w:iCs/>
          <w:spacing w:val="28"/>
          <w:szCs w:val="22"/>
        </w:rPr>
        <w:t xml:space="preserve"> </w:t>
      </w:r>
      <w:r w:rsidRPr="001E3DC9">
        <w:rPr>
          <w:rFonts w:ascii="Arial" w:hAnsi="Arial" w:cs="Arial"/>
          <w:iCs/>
          <w:szCs w:val="22"/>
        </w:rPr>
        <w:t>was based</w:t>
      </w:r>
      <w:r w:rsidRPr="001E3DC9">
        <w:rPr>
          <w:rFonts w:ascii="Arial" w:hAnsi="Arial" w:cs="Arial"/>
          <w:iCs/>
          <w:spacing w:val="14"/>
          <w:szCs w:val="22"/>
        </w:rPr>
        <w:t xml:space="preserve"> </w:t>
      </w:r>
      <w:r w:rsidRPr="001E3DC9">
        <w:rPr>
          <w:rFonts w:ascii="Arial" w:hAnsi="Arial" w:cs="Arial"/>
          <w:iCs/>
          <w:szCs w:val="22"/>
        </w:rPr>
        <w:t>on</w:t>
      </w:r>
      <w:r w:rsidRPr="001E3DC9">
        <w:rPr>
          <w:rFonts w:ascii="Arial" w:hAnsi="Arial" w:cs="Arial"/>
          <w:iCs/>
          <w:spacing w:val="14"/>
          <w:szCs w:val="22"/>
        </w:rPr>
        <w:t xml:space="preserve"> </w:t>
      </w:r>
      <w:r w:rsidRPr="001E3DC9">
        <w:rPr>
          <w:rFonts w:ascii="Arial" w:hAnsi="Arial" w:cs="Arial"/>
          <w:iCs/>
          <w:szCs w:val="22"/>
        </w:rPr>
        <w:t>an</w:t>
      </w:r>
      <w:r w:rsidRPr="001E3DC9">
        <w:rPr>
          <w:rFonts w:ascii="Arial" w:hAnsi="Arial" w:cs="Arial"/>
          <w:iCs/>
          <w:spacing w:val="9"/>
          <w:szCs w:val="22"/>
        </w:rPr>
        <w:t xml:space="preserve"> </w:t>
      </w:r>
      <w:r w:rsidRPr="001E3DC9">
        <w:rPr>
          <w:rFonts w:ascii="Arial" w:hAnsi="Arial" w:cs="Arial"/>
          <w:iCs/>
          <w:szCs w:val="22"/>
        </w:rPr>
        <w:t>improvement</w:t>
      </w:r>
      <w:r w:rsidRPr="001E3DC9">
        <w:rPr>
          <w:rFonts w:ascii="Arial" w:hAnsi="Arial" w:cs="Arial"/>
          <w:iCs/>
          <w:spacing w:val="1"/>
          <w:szCs w:val="22"/>
        </w:rPr>
        <w:t xml:space="preserve"> </w:t>
      </w:r>
      <w:r w:rsidRPr="001E3DC9">
        <w:rPr>
          <w:rFonts w:ascii="Arial" w:hAnsi="Arial" w:cs="Arial"/>
          <w:iCs/>
          <w:szCs w:val="22"/>
        </w:rPr>
        <w:t>in operational</w:t>
      </w:r>
      <w:r w:rsidRPr="001E3DC9">
        <w:rPr>
          <w:rFonts w:ascii="Arial" w:hAnsi="Arial" w:cs="Arial"/>
          <w:iCs/>
          <w:spacing w:val="25"/>
          <w:szCs w:val="22"/>
        </w:rPr>
        <w:t xml:space="preserve"> </w:t>
      </w:r>
      <w:r w:rsidRPr="001E3DC9">
        <w:rPr>
          <w:rFonts w:ascii="Arial" w:hAnsi="Arial" w:cs="Arial"/>
          <w:iCs/>
          <w:szCs w:val="22"/>
        </w:rPr>
        <w:t>efficiencies</w:t>
      </w:r>
      <w:r w:rsidRPr="001E3DC9">
        <w:rPr>
          <w:rFonts w:ascii="Arial" w:hAnsi="Arial" w:cs="Arial"/>
          <w:iCs/>
          <w:spacing w:val="48"/>
          <w:szCs w:val="22"/>
        </w:rPr>
        <w:t xml:space="preserve"> </w:t>
      </w:r>
      <w:r w:rsidRPr="001E3DC9">
        <w:rPr>
          <w:rFonts w:ascii="Arial" w:hAnsi="Arial" w:cs="Arial"/>
          <w:iCs/>
          <w:szCs w:val="22"/>
        </w:rPr>
        <w:t>and</w:t>
      </w:r>
      <w:r w:rsidRPr="001E3DC9">
        <w:rPr>
          <w:rFonts w:ascii="Arial" w:hAnsi="Arial" w:cs="Arial"/>
          <w:iCs/>
          <w:spacing w:val="23"/>
          <w:szCs w:val="22"/>
        </w:rPr>
        <w:t xml:space="preserve"> </w:t>
      </w:r>
      <w:r w:rsidRPr="001E3DC9">
        <w:rPr>
          <w:rFonts w:ascii="Arial" w:hAnsi="Arial" w:cs="Arial"/>
          <w:iCs/>
          <w:szCs w:val="22"/>
        </w:rPr>
        <w:t>productivity. The IDC initially viewed the asset as a pure uranium play (the gold potential was not considered at the time due to level of accuracy of the information) compared to the time of restructuring, there was a demonstrable open cast gold reserve with a proven operational</w:t>
      </w:r>
      <w:r w:rsidRPr="001E3DC9">
        <w:rPr>
          <w:rFonts w:ascii="Arial" w:hAnsi="Arial" w:cs="Arial"/>
          <w:i/>
          <w:iCs/>
          <w:szCs w:val="22"/>
        </w:rPr>
        <w:t xml:space="preserve"> </w:t>
      </w:r>
      <w:r w:rsidRPr="001E3DC9">
        <w:rPr>
          <w:rFonts w:ascii="Arial" w:hAnsi="Arial" w:cs="Arial"/>
          <w:iCs/>
          <w:szCs w:val="22"/>
        </w:rPr>
        <w:t xml:space="preserve">record. At the time of the acquisition, the “perceived” risks were higher, hence the equity </w:t>
      </w:r>
      <w:proofErr w:type="gramStart"/>
      <w:r w:rsidRPr="001E3DC9">
        <w:rPr>
          <w:rFonts w:ascii="Arial" w:hAnsi="Arial" w:cs="Arial"/>
          <w:iCs/>
          <w:szCs w:val="22"/>
        </w:rPr>
        <w:t>type return</w:t>
      </w:r>
      <w:proofErr w:type="gramEnd"/>
      <w:r w:rsidRPr="001E3DC9">
        <w:rPr>
          <w:rFonts w:ascii="Arial" w:hAnsi="Arial" w:cs="Arial"/>
          <w:iCs/>
          <w:szCs w:val="22"/>
        </w:rPr>
        <w:t xml:space="preserve"> of 10% Real After Tax Internal Rate of Return (RATIRR).</w:t>
      </w:r>
    </w:p>
    <w:p w:rsidR="001E3DC9" w:rsidRPr="001E3DC9" w:rsidRDefault="001E3DC9" w:rsidP="006F46DA">
      <w:pPr>
        <w:spacing w:line="276" w:lineRule="auto"/>
        <w:jc w:val="both"/>
        <w:rPr>
          <w:rFonts w:ascii="Arial" w:hAnsi="Arial" w:cs="Arial"/>
          <w:iCs/>
          <w:szCs w:val="22"/>
        </w:rPr>
      </w:pPr>
    </w:p>
    <w:p w:rsidR="001E3DC9" w:rsidRPr="001E3DC9" w:rsidRDefault="001E3DC9" w:rsidP="006F46DA">
      <w:pPr>
        <w:spacing w:line="276" w:lineRule="auto"/>
        <w:jc w:val="both"/>
        <w:rPr>
          <w:rFonts w:ascii="Arial" w:hAnsi="Arial" w:cs="Arial"/>
          <w:iCs/>
          <w:szCs w:val="22"/>
        </w:rPr>
      </w:pPr>
      <w:r w:rsidRPr="001E3DC9">
        <w:rPr>
          <w:rFonts w:ascii="Arial" w:hAnsi="Arial" w:cs="Arial"/>
          <w:iCs/>
          <w:szCs w:val="22"/>
        </w:rPr>
        <w:t>Our pricing mechanism always takes into account both the level of risk and developmental impact and the repayment profile mirrors the anticipated cash flow generation of the asset/project.</w:t>
      </w:r>
    </w:p>
    <w:p w:rsidR="001E3DC9" w:rsidRPr="001E3DC9" w:rsidRDefault="001E3DC9" w:rsidP="006F46DA">
      <w:pPr>
        <w:spacing w:line="276" w:lineRule="auto"/>
        <w:jc w:val="both"/>
        <w:rPr>
          <w:rFonts w:ascii="Arial" w:hAnsi="Arial" w:cs="Arial"/>
          <w:iCs/>
          <w:szCs w:val="22"/>
        </w:rPr>
      </w:pPr>
    </w:p>
    <w:p w:rsidR="001E3DC9" w:rsidRPr="001E3DC9" w:rsidRDefault="001E3DC9" w:rsidP="006F46DA">
      <w:pPr>
        <w:spacing w:line="276" w:lineRule="auto"/>
        <w:jc w:val="both"/>
        <w:rPr>
          <w:rFonts w:ascii="Arial" w:hAnsi="Arial" w:cs="Arial"/>
          <w:szCs w:val="22"/>
        </w:rPr>
      </w:pPr>
      <w:r w:rsidRPr="001E3DC9">
        <w:rPr>
          <w:rFonts w:ascii="Arial" w:hAnsi="Arial" w:cs="Arial"/>
          <w:iCs/>
          <w:szCs w:val="22"/>
        </w:rPr>
        <w:t>At the time of the restructuring, IDC demanded that the company part settle R100 million of the original facility before the restructuring of the facility. In addition the </w:t>
      </w:r>
      <w:r w:rsidRPr="001E3DC9">
        <w:rPr>
          <w:rFonts w:ascii="Arial" w:hAnsi="Arial" w:cs="Arial"/>
          <w:iCs/>
          <w:spacing w:val="16"/>
          <w:szCs w:val="22"/>
        </w:rPr>
        <w:t xml:space="preserve">main </w:t>
      </w:r>
      <w:r w:rsidRPr="001E3DC9">
        <w:rPr>
          <w:rFonts w:ascii="Arial" w:hAnsi="Arial" w:cs="Arial"/>
          <w:iCs/>
          <w:szCs w:val="22"/>
        </w:rPr>
        <w:t>shareholder had injected an additional R293 million and the company was generating positive cash flows from the gold production</w:t>
      </w:r>
      <w:r w:rsidRPr="001E3DC9">
        <w:rPr>
          <w:rFonts w:ascii="Arial" w:hAnsi="Arial" w:cs="Arial"/>
          <w:iCs/>
          <w:spacing w:val="42"/>
          <w:szCs w:val="22"/>
        </w:rPr>
        <w:t xml:space="preserve"> </w:t>
      </w:r>
      <w:r w:rsidRPr="001E3DC9">
        <w:rPr>
          <w:rFonts w:ascii="Arial" w:hAnsi="Arial" w:cs="Arial"/>
          <w:iCs/>
          <w:szCs w:val="22"/>
        </w:rPr>
        <w:t>concomitant with now a demonstrable operational track record from the gold production. Moreover, the IDC facility was reduced by R100 million and the balance of the original capital continued to be secured by the assets of the company, giving the IDC a security cover of more than one times – hence the prime plus two percent post the restructuring.  It is not the first time that the IDC has done a restructuring of this nature where a debt facility is converted into equity.  Ordinarily both the interest and capital is converted into equity.  The difference in this instance is that only the interest portion was converted retaining the capital for it to still be repaid thus putting us in a better position.</w:t>
      </w:r>
      <w:r>
        <w:rPr>
          <w:rFonts w:ascii="Arial" w:hAnsi="Arial" w:cs="Arial"/>
          <w:iCs/>
          <w:szCs w:val="22"/>
        </w:rPr>
        <w:t>”</w:t>
      </w:r>
    </w:p>
    <w:p w:rsidR="00F33099" w:rsidRDefault="00F33099" w:rsidP="00B26A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6480" w:right="120"/>
        <w:jc w:val="both"/>
        <w:rPr>
          <w:rFonts w:ascii="Arial" w:hAnsi="Arial" w:cs="Arial"/>
          <w:iCs/>
        </w:rPr>
      </w:pPr>
      <w:r w:rsidRPr="00B26A70">
        <w:rPr>
          <w:rFonts w:ascii="Arial" w:hAnsi="Arial" w:cs="Arial"/>
          <w:iCs/>
        </w:rPr>
        <w:t xml:space="preserve">MG </w:t>
      </w:r>
      <w:proofErr w:type="spellStart"/>
      <w:r w:rsidRPr="00B26A70">
        <w:rPr>
          <w:rFonts w:ascii="Arial" w:hAnsi="Arial" w:cs="Arial"/>
          <w:iCs/>
        </w:rPr>
        <w:t>Qhena</w:t>
      </w:r>
      <w:proofErr w:type="spellEnd"/>
      <w:r w:rsidRPr="00B26A70">
        <w:rPr>
          <w:rFonts w:ascii="Arial" w:hAnsi="Arial" w:cs="Arial"/>
          <w:iCs/>
        </w:rPr>
        <w:t xml:space="preserve">, </w:t>
      </w:r>
      <w:r w:rsidR="00B26A70">
        <w:rPr>
          <w:rFonts w:ascii="Arial" w:hAnsi="Arial" w:cs="Arial"/>
          <w:iCs/>
        </w:rPr>
        <w:t>23</w:t>
      </w:r>
      <w:r w:rsidRPr="00B26A70">
        <w:rPr>
          <w:rFonts w:ascii="Arial" w:hAnsi="Arial" w:cs="Arial"/>
          <w:iCs/>
        </w:rPr>
        <w:t xml:space="preserve"> May 2016</w:t>
      </w:r>
    </w:p>
    <w:p w:rsidR="00047714" w:rsidRPr="00305473" w:rsidRDefault="00047714">
      <w:pPr>
        <w:spacing w:line="360" w:lineRule="auto"/>
        <w:jc w:val="both"/>
        <w:rPr>
          <w:rFonts w:ascii="Arial" w:eastAsia="Arial" w:hAnsi="Arial" w:cs="Arial"/>
          <w:b/>
          <w:bCs/>
        </w:rPr>
      </w:pPr>
    </w:p>
    <w:p w:rsidR="00FA23CC" w:rsidRDefault="00D603FC" w:rsidP="00D603FC">
      <w:pPr>
        <w:spacing w:line="360" w:lineRule="auto"/>
        <w:jc w:val="center"/>
      </w:pPr>
      <w:r>
        <w:rPr>
          <w:rFonts w:ascii="Arial" w:hAnsi="Arial"/>
          <w:b/>
          <w:bCs/>
        </w:rPr>
        <w:t>-END-</w:t>
      </w:r>
    </w:p>
    <w:sectPr w:rsidR="00FA23CC" w:rsidSect="00560793">
      <w:footerReference w:type="default" r:id="rId9"/>
      <w:pgSz w:w="12240" w:h="15840"/>
      <w:pgMar w:top="1440" w:right="1185"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F2" w:rsidRDefault="00C443F2">
      <w:r>
        <w:separator/>
      </w:r>
    </w:p>
  </w:endnote>
  <w:endnote w:type="continuationSeparator" w:id="0">
    <w:p w:rsidR="00C443F2" w:rsidRDefault="00C4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CC" w:rsidRDefault="00226D3B">
    <w:pPr>
      <w:pStyle w:val="Body1"/>
      <w:tabs>
        <w:tab w:val="center" w:pos="4320"/>
        <w:tab w:val="center" w:pos="4513"/>
        <w:tab w:val="right" w:pos="8620"/>
        <w:tab w:val="right" w:pos="8640"/>
      </w:tabs>
      <w:jc w:val="center"/>
      <w:rPr>
        <w:rFonts w:ascii="Arial" w:hAnsi="Arial"/>
        <w:sz w:val="16"/>
        <w:szCs w:val="16"/>
      </w:rPr>
    </w:pPr>
    <w:r>
      <w:rPr>
        <w:rFonts w:ascii="Arial" w:hAnsi="Arial"/>
        <w:sz w:val="16"/>
        <w:szCs w:val="16"/>
      </w:rPr>
      <w:fldChar w:fldCharType="begin"/>
    </w:r>
    <w:r w:rsidR="002E26F0">
      <w:rPr>
        <w:rFonts w:ascii="Arial" w:hAnsi="Arial"/>
        <w:sz w:val="16"/>
        <w:szCs w:val="16"/>
      </w:rPr>
      <w:instrText xml:space="preserve"> PAGE </w:instrText>
    </w:r>
    <w:r>
      <w:rPr>
        <w:rFonts w:ascii="Arial" w:hAnsi="Arial"/>
        <w:sz w:val="16"/>
        <w:szCs w:val="16"/>
      </w:rPr>
      <w:fldChar w:fldCharType="separate"/>
    </w:r>
    <w:r w:rsidR="009A3FAF">
      <w:rPr>
        <w:rFonts w:ascii="Arial" w:hAnsi="Arial"/>
        <w:noProof/>
        <w:sz w:val="16"/>
        <w:szCs w:val="16"/>
      </w:rPr>
      <w:t>1</w:t>
    </w:r>
    <w:r>
      <w:rPr>
        <w:rFonts w:ascii="Arial" w:hAnsi="Arial"/>
        <w:sz w:val="16"/>
        <w:szCs w:val="16"/>
      </w:rPr>
      <w:fldChar w:fldCharType="end"/>
    </w:r>
  </w:p>
  <w:p w:rsidR="00FA23CC" w:rsidRDefault="002E26F0">
    <w:pPr>
      <w:pStyle w:val="Body1"/>
      <w:tabs>
        <w:tab w:val="center" w:pos="4320"/>
        <w:tab w:val="center" w:pos="4513"/>
        <w:tab w:val="right" w:pos="8620"/>
        <w:tab w:val="right" w:pos="8640"/>
      </w:tabs>
      <w:jc w:val="center"/>
    </w:pPr>
    <w:r>
      <w:rPr>
        <w:rFonts w:ascii="Arial" w:hAnsi="Arial"/>
        <w:sz w:val="16"/>
        <w:szCs w:val="16"/>
      </w:rPr>
      <w:t xml:space="preserve">Parliamentary Question no </w:t>
    </w:r>
    <w:r w:rsidR="00313A4B">
      <w:rPr>
        <w:rFonts w:ascii="Arial" w:hAnsi="Arial"/>
        <w:sz w:val="16"/>
        <w:szCs w:val="16"/>
      </w:rPr>
      <w:t>1300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F2" w:rsidRDefault="00C443F2">
      <w:r>
        <w:separator/>
      </w:r>
    </w:p>
  </w:footnote>
  <w:footnote w:type="continuationSeparator" w:id="0">
    <w:p w:rsidR="00C443F2" w:rsidRDefault="00C44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11DE"/>
    <w:multiLevelType w:val="hybridMultilevel"/>
    <w:tmpl w:val="407C2DDE"/>
    <w:styleLink w:val="Numbered"/>
    <w:lvl w:ilvl="0" w:tplc="EAEE5706">
      <w:start w:val="1"/>
      <w:numFmt w:val="decimal"/>
      <w:lvlText w:val="%1."/>
      <w:lvlJc w:val="left"/>
      <w:pPr>
        <w:ind w:left="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E12EC74">
      <w:start w:val="1"/>
      <w:numFmt w:val="decimal"/>
      <w:lvlText w:val="%2."/>
      <w:lvlJc w:val="left"/>
      <w:pPr>
        <w:ind w:left="1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A05CCE">
      <w:start w:val="1"/>
      <w:numFmt w:val="decimal"/>
      <w:lvlText w:val="%3."/>
      <w:lvlJc w:val="left"/>
      <w:pPr>
        <w:ind w:left="1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E8A6C0C">
      <w:start w:val="1"/>
      <w:numFmt w:val="decimal"/>
      <w:lvlText w:val="%4."/>
      <w:lvlJc w:val="left"/>
      <w:pPr>
        <w:ind w:left="2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262334">
      <w:start w:val="1"/>
      <w:numFmt w:val="decimal"/>
      <w:lvlText w:val="%5."/>
      <w:lvlJc w:val="left"/>
      <w:pPr>
        <w:ind w:left="34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51A8010">
      <w:start w:val="1"/>
      <w:numFmt w:val="decimal"/>
      <w:lvlText w:val="%6."/>
      <w:lvlJc w:val="left"/>
      <w:pPr>
        <w:ind w:left="4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B0EBC4">
      <w:start w:val="1"/>
      <w:numFmt w:val="decimal"/>
      <w:lvlText w:val="%7."/>
      <w:lvlJc w:val="left"/>
      <w:pPr>
        <w:ind w:left="5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EA63B6">
      <w:start w:val="1"/>
      <w:numFmt w:val="decimal"/>
      <w:lvlText w:val="%8."/>
      <w:lvlJc w:val="left"/>
      <w:pPr>
        <w:ind w:left="5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90C9D6C">
      <w:start w:val="1"/>
      <w:numFmt w:val="decimal"/>
      <w:lvlText w:val="%9."/>
      <w:lvlJc w:val="left"/>
      <w:pPr>
        <w:ind w:left="6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63E635BE"/>
    <w:multiLevelType w:val="hybridMultilevel"/>
    <w:tmpl w:val="6D025CCA"/>
    <w:numStyleLink w:val="ImportedStyle1"/>
  </w:abstractNum>
  <w:abstractNum w:abstractNumId="2">
    <w:nsid w:val="71470714"/>
    <w:multiLevelType w:val="hybridMultilevel"/>
    <w:tmpl w:val="6D025CCA"/>
    <w:styleLink w:val="ImportedStyle1"/>
    <w:lvl w:ilvl="0" w:tplc="4912B20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958E4B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3CF018">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B0E22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58E0BC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7045892">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B0E87D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3F256C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14B11E">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779E4D83"/>
    <w:multiLevelType w:val="hybridMultilevel"/>
    <w:tmpl w:val="407C2DDE"/>
    <w:numStyleLink w:val="Numbered"/>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CC"/>
    <w:rsid w:val="00047714"/>
    <w:rsid w:val="000E19EC"/>
    <w:rsid w:val="000E6D21"/>
    <w:rsid w:val="0010209A"/>
    <w:rsid w:val="00123609"/>
    <w:rsid w:val="001C217E"/>
    <w:rsid w:val="001E3DC9"/>
    <w:rsid w:val="00226D3B"/>
    <w:rsid w:val="00290361"/>
    <w:rsid w:val="002B767E"/>
    <w:rsid w:val="002E26F0"/>
    <w:rsid w:val="00305473"/>
    <w:rsid w:val="00313A4B"/>
    <w:rsid w:val="00382DE3"/>
    <w:rsid w:val="003C071C"/>
    <w:rsid w:val="003D6B42"/>
    <w:rsid w:val="00456BB6"/>
    <w:rsid w:val="004652F6"/>
    <w:rsid w:val="004D2165"/>
    <w:rsid w:val="00560793"/>
    <w:rsid w:val="00610FCF"/>
    <w:rsid w:val="00666217"/>
    <w:rsid w:val="006E6056"/>
    <w:rsid w:val="006F46DA"/>
    <w:rsid w:val="007B434F"/>
    <w:rsid w:val="008C66DF"/>
    <w:rsid w:val="009027FA"/>
    <w:rsid w:val="00933A56"/>
    <w:rsid w:val="00960D1E"/>
    <w:rsid w:val="00967046"/>
    <w:rsid w:val="00973307"/>
    <w:rsid w:val="009A3FAF"/>
    <w:rsid w:val="009D6534"/>
    <w:rsid w:val="00A21811"/>
    <w:rsid w:val="00A54A49"/>
    <w:rsid w:val="00A57546"/>
    <w:rsid w:val="00AC07E1"/>
    <w:rsid w:val="00AC6070"/>
    <w:rsid w:val="00B1493D"/>
    <w:rsid w:val="00B21CD8"/>
    <w:rsid w:val="00B26A70"/>
    <w:rsid w:val="00C443F2"/>
    <w:rsid w:val="00CB61B1"/>
    <w:rsid w:val="00D603FC"/>
    <w:rsid w:val="00DD717C"/>
    <w:rsid w:val="00E7659E"/>
    <w:rsid w:val="00F20653"/>
    <w:rsid w:val="00F33099"/>
    <w:rsid w:val="00F61865"/>
    <w:rsid w:val="00FA23CC"/>
    <w:rsid w:val="00FC2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paragraph" w:styleId="ListParagraph">
    <w:name w:val="List Paragraph"/>
    <w:pPr>
      <w:spacing w:line="276" w:lineRule="auto"/>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3"/>
      </w:numPr>
    </w:pPr>
  </w:style>
  <w:style w:type="paragraph" w:styleId="Header">
    <w:name w:val="header"/>
    <w:basedOn w:val="Normal"/>
    <w:link w:val="HeaderChar"/>
    <w:uiPriority w:val="99"/>
    <w:unhideWhenUsed/>
    <w:rsid w:val="002B767E"/>
    <w:pPr>
      <w:tabs>
        <w:tab w:val="center" w:pos="4513"/>
        <w:tab w:val="right" w:pos="9026"/>
      </w:tabs>
    </w:pPr>
  </w:style>
  <w:style w:type="character" w:customStyle="1" w:styleId="HeaderChar">
    <w:name w:val="Header Char"/>
    <w:basedOn w:val="DefaultParagraphFont"/>
    <w:link w:val="Header"/>
    <w:uiPriority w:val="99"/>
    <w:rsid w:val="002B767E"/>
    <w:rPr>
      <w:rFonts w:eastAsia="Times New Roman"/>
      <w:color w:val="000000"/>
      <w:sz w:val="24"/>
      <w:szCs w:val="24"/>
      <w:u w:color="000000"/>
      <w:lang w:val="en-US"/>
    </w:rPr>
  </w:style>
  <w:style w:type="paragraph" w:styleId="Footer">
    <w:name w:val="footer"/>
    <w:basedOn w:val="Normal"/>
    <w:link w:val="FooterChar"/>
    <w:uiPriority w:val="99"/>
    <w:unhideWhenUsed/>
    <w:rsid w:val="002B767E"/>
    <w:pPr>
      <w:tabs>
        <w:tab w:val="center" w:pos="4513"/>
        <w:tab w:val="right" w:pos="9026"/>
      </w:tabs>
    </w:pPr>
  </w:style>
  <w:style w:type="character" w:customStyle="1" w:styleId="FooterChar">
    <w:name w:val="Footer Char"/>
    <w:basedOn w:val="DefaultParagraphFont"/>
    <w:link w:val="Footer"/>
    <w:uiPriority w:val="99"/>
    <w:rsid w:val="002B767E"/>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2B767E"/>
    <w:rPr>
      <w:rFonts w:ascii="Tahoma" w:hAnsi="Tahoma" w:cs="Tahoma"/>
      <w:sz w:val="16"/>
      <w:szCs w:val="16"/>
    </w:rPr>
  </w:style>
  <w:style w:type="character" w:customStyle="1" w:styleId="BalloonTextChar">
    <w:name w:val="Balloon Text Char"/>
    <w:basedOn w:val="DefaultParagraphFont"/>
    <w:link w:val="BalloonText"/>
    <w:uiPriority w:val="99"/>
    <w:semiHidden/>
    <w:rsid w:val="002B767E"/>
    <w:rPr>
      <w:rFonts w:ascii="Tahoma" w:eastAsia="Times New Roman"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paragraph" w:styleId="ListParagraph">
    <w:name w:val="List Paragraph"/>
    <w:pPr>
      <w:spacing w:line="276" w:lineRule="auto"/>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3"/>
      </w:numPr>
    </w:pPr>
  </w:style>
  <w:style w:type="paragraph" w:styleId="Header">
    <w:name w:val="header"/>
    <w:basedOn w:val="Normal"/>
    <w:link w:val="HeaderChar"/>
    <w:uiPriority w:val="99"/>
    <w:unhideWhenUsed/>
    <w:rsid w:val="002B767E"/>
    <w:pPr>
      <w:tabs>
        <w:tab w:val="center" w:pos="4513"/>
        <w:tab w:val="right" w:pos="9026"/>
      </w:tabs>
    </w:pPr>
  </w:style>
  <w:style w:type="character" w:customStyle="1" w:styleId="HeaderChar">
    <w:name w:val="Header Char"/>
    <w:basedOn w:val="DefaultParagraphFont"/>
    <w:link w:val="Header"/>
    <w:uiPriority w:val="99"/>
    <w:rsid w:val="002B767E"/>
    <w:rPr>
      <w:rFonts w:eastAsia="Times New Roman"/>
      <w:color w:val="000000"/>
      <w:sz w:val="24"/>
      <w:szCs w:val="24"/>
      <w:u w:color="000000"/>
      <w:lang w:val="en-US"/>
    </w:rPr>
  </w:style>
  <w:style w:type="paragraph" w:styleId="Footer">
    <w:name w:val="footer"/>
    <w:basedOn w:val="Normal"/>
    <w:link w:val="FooterChar"/>
    <w:uiPriority w:val="99"/>
    <w:unhideWhenUsed/>
    <w:rsid w:val="002B767E"/>
    <w:pPr>
      <w:tabs>
        <w:tab w:val="center" w:pos="4513"/>
        <w:tab w:val="right" w:pos="9026"/>
      </w:tabs>
    </w:pPr>
  </w:style>
  <w:style w:type="character" w:customStyle="1" w:styleId="FooterChar">
    <w:name w:val="Footer Char"/>
    <w:basedOn w:val="DefaultParagraphFont"/>
    <w:link w:val="Footer"/>
    <w:uiPriority w:val="99"/>
    <w:rsid w:val="002B767E"/>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2B767E"/>
    <w:rPr>
      <w:rFonts w:ascii="Tahoma" w:hAnsi="Tahoma" w:cs="Tahoma"/>
      <w:sz w:val="16"/>
      <w:szCs w:val="16"/>
    </w:rPr>
  </w:style>
  <w:style w:type="character" w:customStyle="1" w:styleId="BalloonTextChar">
    <w:name w:val="Balloon Text Char"/>
    <w:basedOn w:val="DefaultParagraphFont"/>
    <w:link w:val="BalloonText"/>
    <w:uiPriority w:val="99"/>
    <w:semiHidden/>
    <w:rsid w:val="002B767E"/>
    <w:rPr>
      <w:rFonts w:ascii="Tahoma" w:eastAsia="Times New Roman"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1046">
      <w:bodyDiv w:val="1"/>
      <w:marLeft w:val="60"/>
      <w:marRight w:val="60"/>
      <w:marTop w:val="60"/>
      <w:marBottom w:val="15"/>
      <w:divBdr>
        <w:top w:val="none" w:sz="0" w:space="0" w:color="auto"/>
        <w:left w:val="none" w:sz="0" w:space="0" w:color="auto"/>
        <w:bottom w:val="none" w:sz="0" w:space="0" w:color="auto"/>
        <w:right w:val="none" w:sz="0" w:space="0" w:color="auto"/>
      </w:divBdr>
      <w:divsChild>
        <w:div w:id="1140461783">
          <w:marLeft w:val="0"/>
          <w:marRight w:val="0"/>
          <w:marTop w:val="0"/>
          <w:marBottom w:val="0"/>
          <w:divBdr>
            <w:top w:val="none" w:sz="0" w:space="0" w:color="auto"/>
            <w:left w:val="none" w:sz="0" w:space="0" w:color="auto"/>
            <w:bottom w:val="none" w:sz="0" w:space="0" w:color="auto"/>
            <w:right w:val="none" w:sz="0" w:space="0" w:color="auto"/>
          </w:divBdr>
          <w:divsChild>
            <w:div w:id="1209804754">
              <w:marLeft w:val="0"/>
              <w:marRight w:val="0"/>
              <w:marTop w:val="0"/>
              <w:marBottom w:val="0"/>
              <w:divBdr>
                <w:top w:val="none" w:sz="0" w:space="0" w:color="auto"/>
                <w:left w:val="none" w:sz="0" w:space="0" w:color="auto"/>
                <w:bottom w:val="none" w:sz="0" w:space="0" w:color="auto"/>
                <w:right w:val="none" w:sz="0" w:space="0" w:color="auto"/>
              </w:divBdr>
              <w:divsChild>
                <w:div w:id="1550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5892">
      <w:bodyDiv w:val="1"/>
      <w:marLeft w:val="0"/>
      <w:marRight w:val="0"/>
      <w:marTop w:val="0"/>
      <w:marBottom w:val="0"/>
      <w:divBdr>
        <w:top w:val="none" w:sz="0" w:space="0" w:color="auto"/>
        <w:left w:val="none" w:sz="0" w:space="0" w:color="auto"/>
        <w:bottom w:val="none" w:sz="0" w:space="0" w:color="auto"/>
        <w:right w:val="none" w:sz="0" w:space="0" w:color="auto"/>
      </w:divBdr>
      <w:divsChild>
        <w:div w:id="2052024854">
          <w:marLeft w:val="0"/>
          <w:marRight w:val="0"/>
          <w:marTop w:val="0"/>
          <w:marBottom w:val="0"/>
          <w:divBdr>
            <w:top w:val="none" w:sz="0" w:space="0" w:color="auto"/>
            <w:left w:val="none" w:sz="0" w:space="0" w:color="auto"/>
            <w:bottom w:val="none" w:sz="0" w:space="0" w:color="auto"/>
            <w:right w:val="none" w:sz="0" w:space="0" w:color="auto"/>
          </w:divBdr>
        </w:div>
        <w:div w:id="1858883753">
          <w:marLeft w:val="0"/>
          <w:marRight w:val="0"/>
          <w:marTop w:val="0"/>
          <w:marBottom w:val="0"/>
          <w:divBdr>
            <w:top w:val="none" w:sz="0" w:space="0" w:color="auto"/>
            <w:left w:val="none" w:sz="0" w:space="0" w:color="auto"/>
            <w:bottom w:val="none" w:sz="0" w:space="0" w:color="auto"/>
            <w:right w:val="none" w:sz="0" w:space="0" w:color="auto"/>
          </w:divBdr>
        </w:div>
        <w:div w:id="247229239">
          <w:marLeft w:val="0"/>
          <w:marRight w:val="0"/>
          <w:marTop w:val="0"/>
          <w:marBottom w:val="0"/>
          <w:divBdr>
            <w:top w:val="none" w:sz="0" w:space="0" w:color="auto"/>
            <w:left w:val="none" w:sz="0" w:space="0" w:color="auto"/>
            <w:bottom w:val="none" w:sz="0" w:space="0" w:color="auto"/>
            <w:right w:val="none" w:sz="0" w:space="0" w:color="auto"/>
          </w:divBdr>
        </w:div>
      </w:divsChild>
    </w:div>
    <w:div w:id="1607693955">
      <w:bodyDiv w:val="1"/>
      <w:marLeft w:val="60"/>
      <w:marRight w:val="60"/>
      <w:marTop w:val="60"/>
      <w:marBottom w:val="15"/>
      <w:divBdr>
        <w:top w:val="none" w:sz="0" w:space="0" w:color="auto"/>
        <w:left w:val="none" w:sz="0" w:space="0" w:color="auto"/>
        <w:bottom w:val="none" w:sz="0" w:space="0" w:color="auto"/>
        <w:right w:val="none" w:sz="0" w:space="0" w:color="auto"/>
      </w:divBdr>
      <w:divsChild>
        <w:div w:id="883566687">
          <w:marLeft w:val="0"/>
          <w:marRight w:val="0"/>
          <w:marTop w:val="0"/>
          <w:marBottom w:val="0"/>
          <w:divBdr>
            <w:top w:val="none" w:sz="0" w:space="0" w:color="auto"/>
            <w:left w:val="none" w:sz="0" w:space="0" w:color="auto"/>
            <w:bottom w:val="none" w:sz="0" w:space="0" w:color="auto"/>
            <w:right w:val="none" w:sz="0" w:space="0" w:color="auto"/>
          </w:divBdr>
          <w:divsChild>
            <w:div w:id="1635597835">
              <w:marLeft w:val="0"/>
              <w:marRight w:val="0"/>
              <w:marTop w:val="0"/>
              <w:marBottom w:val="0"/>
              <w:divBdr>
                <w:top w:val="none" w:sz="0" w:space="0" w:color="auto"/>
                <w:left w:val="none" w:sz="0" w:space="0" w:color="auto"/>
                <w:bottom w:val="none" w:sz="0" w:space="0" w:color="auto"/>
                <w:right w:val="none" w:sz="0" w:space="0" w:color="auto"/>
              </w:divBdr>
              <w:divsChild>
                <w:div w:id="21224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TVMeelis</dc:creator>
  <cp:lastModifiedBy>Sehlabela Chuene</cp:lastModifiedBy>
  <cp:revision>2</cp:revision>
  <cp:lastPrinted>2016-05-23T09:32:00Z</cp:lastPrinted>
  <dcterms:created xsi:type="dcterms:W3CDTF">2016-05-24T09:13:00Z</dcterms:created>
  <dcterms:modified xsi:type="dcterms:W3CDTF">2016-05-24T09:13:00Z</dcterms:modified>
</cp:coreProperties>
</file>