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1DFC" w14:textId="77777777"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14:paraId="6B100A6F" w14:textId="77777777" w:rsidR="00E238C2" w:rsidRPr="0034705D" w:rsidRDefault="00E238C2">
      <w:pPr>
        <w:jc w:val="both"/>
        <w:rPr>
          <w:b/>
          <w:sz w:val="24"/>
          <w:u w:val="single"/>
        </w:rPr>
      </w:pPr>
    </w:p>
    <w:p w14:paraId="616D45E0"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381E7E76" w14:textId="77777777" w:rsidR="00E238C2" w:rsidRPr="0034705D" w:rsidRDefault="00E238C2">
      <w:pPr>
        <w:pStyle w:val="BodyText"/>
        <w:rPr>
          <w:b/>
          <w:bCs/>
          <w:sz w:val="24"/>
          <w:u w:val="single"/>
        </w:rPr>
      </w:pPr>
    </w:p>
    <w:p w14:paraId="04E657C7" w14:textId="77777777" w:rsidR="00E238C2" w:rsidRDefault="005E1FBC">
      <w:pPr>
        <w:pStyle w:val="BodyText"/>
        <w:rPr>
          <w:b/>
          <w:bCs/>
          <w:sz w:val="24"/>
          <w:u w:val="single"/>
        </w:rPr>
      </w:pPr>
      <w:r w:rsidRPr="0034705D">
        <w:rPr>
          <w:b/>
          <w:bCs/>
          <w:sz w:val="24"/>
          <w:u w:val="single"/>
        </w:rPr>
        <w:t xml:space="preserve">QUESTION NO. </w:t>
      </w:r>
      <w:r w:rsidR="00FA3B21">
        <w:rPr>
          <w:b/>
          <w:bCs/>
          <w:sz w:val="24"/>
          <w:u w:val="single"/>
        </w:rPr>
        <w:t>1</w:t>
      </w:r>
      <w:r w:rsidR="005938AC">
        <w:rPr>
          <w:b/>
          <w:bCs/>
          <w:sz w:val="24"/>
          <w:u w:val="single"/>
        </w:rPr>
        <w:t>2</w:t>
      </w:r>
      <w:r w:rsidR="00C23BC4">
        <w:rPr>
          <w:b/>
          <w:bCs/>
          <w:sz w:val="24"/>
          <w:u w:val="single"/>
        </w:rPr>
        <w:t>98</w:t>
      </w:r>
    </w:p>
    <w:p w14:paraId="13C217C8" w14:textId="77777777" w:rsidR="003548B4" w:rsidRDefault="003548B4">
      <w:pPr>
        <w:pStyle w:val="BodyText"/>
        <w:rPr>
          <w:b/>
          <w:bCs/>
          <w:sz w:val="24"/>
          <w:u w:val="single"/>
        </w:rPr>
      </w:pPr>
    </w:p>
    <w:p w14:paraId="181706C3"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23BF4">
        <w:rPr>
          <w:b/>
          <w:bCs/>
          <w:sz w:val="24"/>
          <w:u w:val="single"/>
        </w:rPr>
        <w:t>2</w:t>
      </w:r>
      <w:r w:rsidR="005938AC">
        <w:rPr>
          <w:b/>
          <w:bCs/>
          <w:sz w:val="24"/>
          <w:u w:val="single"/>
        </w:rPr>
        <w:t>6</w:t>
      </w:r>
      <w:r w:rsidR="00145C76">
        <w:rPr>
          <w:b/>
          <w:bCs/>
          <w:sz w:val="24"/>
          <w:u w:val="single"/>
        </w:rPr>
        <w:t xml:space="preserve"> </w:t>
      </w:r>
      <w:r w:rsidR="00952995">
        <w:rPr>
          <w:b/>
          <w:bCs/>
          <w:sz w:val="24"/>
          <w:u w:val="single"/>
        </w:rPr>
        <w:t>APRIL</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466B15AC"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023BF4">
        <w:rPr>
          <w:b/>
          <w:bCs/>
          <w:sz w:val="24"/>
          <w:u w:val="single"/>
        </w:rPr>
        <w:t>1</w:t>
      </w:r>
      <w:r w:rsidR="005938AC">
        <w:rPr>
          <w:b/>
          <w:bCs/>
          <w:sz w:val="24"/>
          <w:u w:val="single"/>
        </w:rPr>
        <w:t>3</w:t>
      </w:r>
      <w:r w:rsidRPr="00294557">
        <w:rPr>
          <w:b/>
          <w:bCs/>
          <w:sz w:val="24"/>
          <w:u w:val="single"/>
        </w:rPr>
        <w:t>)</w:t>
      </w:r>
    </w:p>
    <w:p w14:paraId="152B2F1E" w14:textId="77777777" w:rsidR="00C23BC4" w:rsidRPr="00C23BC4" w:rsidRDefault="00C23BC4" w:rsidP="00C23BC4">
      <w:pPr>
        <w:spacing w:before="100" w:beforeAutospacing="1" w:after="100" w:afterAutospacing="1"/>
        <w:ind w:left="720" w:hanging="720"/>
        <w:jc w:val="both"/>
        <w:outlineLvl w:val="0"/>
        <w:rPr>
          <w:b/>
          <w:sz w:val="24"/>
          <w:u w:val="single"/>
        </w:rPr>
      </w:pPr>
      <w:r w:rsidRPr="00C23BC4">
        <w:rPr>
          <w:b/>
          <w:sz w:val="24"/>
          <w:u w:val="single"/>
        </w:rPr>
        <w:t xml:space="preserve">Ms N P </w:t>
      </w:r>
      <w:proofErr w:type="spellStart"/>
      <w:r w:rsidRPr="00C23BC4">
        <w:rPr>
          <w:b/>
          <w:sz w:val="24"/>
          <w:u w:val="single"/>
        </w:rPr>
        <w:t>Sonti</w:t>
      </w:r>
      <w:proofErr w:type="spellEnd"/>
      <w:r w:rsidRPr="00C23BC4">
        <w:rPr>
          <w:b/>
          <w:sz w:val="24"/>
          <w:u w:val="single"/>
        </w:rPr>
        <w:t xml:space="preserve"> (EFF) to ask the Minister of Health:</w:t>
      </w:r>
    </w:p>
    <w:p w14:paraId="131B9A9D" w14:textId="510C5CA5" w:rsidR="00E238C2" w:rsidRPr="001A3633" w:rsidRDefault="00C23BC4" w:rsidP="001A3633">
      <w:pPr>
        <w:spacing w:before="100" w:beforeAutospacing="1" w:after="100" w:afterAutospacing="1"/>
        <w:jc w:val="both"/>
        <w:rPr>
          <w:sz w:val="20"/>
          <w:szCs w:val="20"/>
          <w:u w:val="single"/>
        </w:rPr>
      </w:pPr>
      <w:proofErr w:type="gramStart"/>
      <w:r w:rsidRPr="00C23BC4">
        <w:rPr>
          <w:rFonts w:eastAsia="Calibri"/>
          <w:bCs/>
          <w:sz w:val="24"/>
        </w:rPr>
        <w:t xml:space="preserve">(a) </w:t>
      </w:r>
      <w:r w:rsidRPr="00C23BC4">
        <w:rPr>
          <w:sz w:val="24"/>
          <w:lang w:val="af-ZA"/>
        </w:rPr>
        <w:t>What</w:t>
      </w:r>
      <w:r w:rsidRPr="00C23BC4">
        <w:rPr>
          <w:rFonts w:eastAsia="Calibri"/>
          <w:bCs/>
          <w:sz w:val="24"/>
        </w:rPr>
        <w:t xml:space="preserve"> were the recommendations of the 2015 </w:t>
      </w:r>
      <w:r w:rsidRPr="00C23BC4">
        <w:rPr>
          <w:rFonts w:eastAsia="Calibri"/>
          <w:bCs/>
          <w:i/>
          <w:sz w:val="24"/>
        </w:rPr>
        <w:t>Report of the Ministerial Task Team to Investigate Allegations of Administrative Irregularities, Mismanagement and Poor Governance at the Health Professions Council of South Africa</w:t>
      </w:r>
      <w:r w:rsidRPr="00C23BC4">
        <w:rPr>
          <w:rFonts w:eastAsia="Calibri"/>
          <w:bCs/>
          <w:sz w:val="24"/>
        </w:rPr>
        <w:t>, (b) what number of the specified recommendations (</w:t>
      </w:r>
      <w:proofErr w:type="spellStart"/>
      <w:r w:rsidRPr="00C23BC4">
        <w:rPr>
          <w:rFonts w:eastAsia="Calibri"/>
          <w:bCs/>
          <w:sz w:val="24"/>
        </w:rPr>
        <w:t>i</w:t>
      </w:r>
      <w:proofErr w:type="spellEnd"/>
      <w:r w:rsidRPr="00C23BC4">
        <w:rPr>
          <w:rFonts w:eastAsia="Calibri"/>
          <w:bCs/>
          <w:sz w:val="24"/>
        </w:rPr>
        <w:t>) have been carried out, (ii) have not been carried out and (iii) are in the process of being carried out and (c) why were no steps taken with regard to the recommendations which were not carried out?</w:t>
      </w:r>
      <w:r w:rsidR="001A3633">
        <w:rPr>
          <w:rFonts w:eastAsia="Calibri"/>
          <w:bCs/>
          <w:sz w:val="24"/>
        </w:rPr>
        <w:tab/>
      </w:r>
      <w:r w:rsidR="001A3633">
        <w:rPr>
          <w:rFonts w:eastAsia="Calibri"/>
          <w:bCs/>
          <w:sz w:val="24"/>
        </w:rPr>
        <w:tab/>
      </w:r>
      <w:r w:rsidR="001A3633">
        <w:rPr>
          <w:rFonts w:eastAsia="Calibri"/>
          <w:bCs/>
          <w:sz w:val="24"/>
        </w:rPr>
        <w:tab/>
      </w:r>
      <w:r w:rsidR="001A3633">
        <w:rPr>
          <w:rFonts w:eastAsia="Calibri"/>
          <w:bCs/>
          <w:sz w:val="24"/>
        </w:rPr>
        <w:tab/>
      </w:r>
      <w:r w:rsidR="001A3633">
        <w:rPr>
          <w:rFonts w:eastAsia="Calibri"/>
          <w:bCs/>
          <w:sz w:val="24"/>
        </w:rPr>
        <w:tab/>
      </w:r>
      <w:r w:rsidR="001A3633">
        <w:rPr>
          <w:rFonts w:eastAsia="Calibri"/>
          <w:bCs/>
          <w:sz w:val="24"/>
        </w:rPr>
        <w:tab/>
      </w:r>
      <w:r w:rsidR="001A3633">
        <w:rPr>
          <w:rFonts w:eastAsia="Calibri"/>
          <w:bCs/>
          <w:sz w:val="24"/>
        </w:rPr>
        <w:tab/>
      </w:r>
      <w:r w:rsidR="001A3633">
        <w:rPr>
          <w:rFonts w:eastAsia="Calibri"/>
          <w:bCs/>
          <w:sz w:val="24"/>
        </w:rPr>
        <w:tab/>
      </w:r>
      <w:bookmarkStart w:id="0" w:name="_GoBack"/>
      <w:bookmarkEnd w:id="0"/>
      <w:proofErr w:type="gramEnd"/>
      <w:r w:rsidR="007E6896" w:rsidRPr="001A3633">
        <w:rPr>
          <w:color w:val="000000"/>
          <w:sz w:val="20"/>
          <w:szCs w:val="20"/>
        </w:rPr>
        <w:t>N</w:t>
      </w:r>
      <w:r w:rsidR="001651E2" w:rsidRPr="001A3633">
        <w:rPr>
          <w:color w:val="000000"/>
          <w:sz w:val="20"/>
          <w:szCs w:val="20"/>
        </w:rPr>
        <w:t>W</w:t>
      </w:r>
      <w:r w:rsidR="00023BF4" w:rsidRPr="001A3633">
        <w:rPr>
          <w:color w:val="000000"/>
          <w:sz w:val="20"/>
          <w:szCs w:val="20"/>
        </w:rPr>
        <w:t>1</w:t>
      </w:r>
      <w:r w:rsidR="005938AC" w:rsidRPr="001A3633">
        <w:rPr>
          <w:color w:val="000000"/>
          <w:sz w:val="20"/>
          <w:szCs w:val="20"/>
        </w:rPr>
        <w:t>3</w:t>
      </w:r>
      <w:r w:rsidR="002B4653" w:rsidRPr="001A3633">
        <w:rPr>
          <w:color w:val="000000"/>
          <w:sz w:val="20"/>
          <w:szCs w:val="20"/>
        </w:rPr>
        <w:t>9</w:t>
      </w:r>
      <w:r w:rsidRPr="001A3633">
        <w:rPr>
          <w:color w:val="000000"/>
          <w:sz w:val="20"/>
          <w:szCs w:val="20"/>
        </w:rPr>
        <w:t>9</w:t>
      </w:r>
      <w:r w:rsidR="009D2E42" w:rsidRPr="001A3633">
        <w:rPr>
          <w:color w:val="000000"/>
          <w:sz w:val="20"/>
          <w:szCs w:val="20"/>
        </w:rPr>
        <w:t>E</w:t>
      </w:r>
      <w:r w:rsidR="00E238C2" w:rsidRPr="001A3633">
        <w:rPr>
          <w:color w:val="000000"/>
          <w:sz w:val="20"/>
          <w:szCs w:val="20"/>
        </w:rPr>
        <w:t xml:space="preserve"> </w:t>
      </w:r>
    </w:p>
    <w:p w14:paraId="250738F3" w14:textId="77777777" w:rsidR="00927732" w:rsidRPr="00CA0154" w:rsidRDefault="00E238C2" w:rsidP="00CA0154">
      <w:pPr>
        <w:rPr>
          <w:b/>
          <w:bCs/>
          <w:sz w:val="24"/>
          <w:u w:val="single"/>
          <w:lang w:val="en-US"/>
        </w:rPr>
      </w:pPr>
      <w:r w:rsidRPr="0034705D">
        <w:rPr>
          <w:b/>
          <w:bCs/>
          <w:sz w:val="24"/>
          <w:u w:val="single"/>
          <w:lang w:val="en-US"/>
        </w:rPr>
        <w:t>REPLY:</w:t>
      </w:r>
    </w:p>
    <w:p w14:paraId="212099CC" w14:textId="77777777" w:rsidR="00DE0B84" w:rsidRPr="00BC570C" w:rsidRDefault="00DE0B84" w:rsidP="00DE0B84">
      <w:pPr>
        <w:jc w:val="both"/>
        <w:rPr>
          <w:b/>
          <w:color w:val="FF0000"/>
          <w:u w:val="single"/>
        </w:rPr>
      </w:pPr>
    </w:p>
    <w:p w14:paraId="7AB8E093" w14:textId="77777777" w:rsidR="00DE0B84" w:rsidRPr="007118AB" w:rsidRDefault="007118AB" w:rsidP="00DE0B84">
      <w:pPr>
        <w:jc w:val="both"/>
        <w:rPr>
          <w:sz w:val="24"/>
        </w:rPr>
      </w:pPr>
      <w:r>
        <w:rPr>
          <w:sz w:val="24"/>
        </w:rPr>
        <w:t>(a)</w:t>
      </w:r>
      <w:r>
        <w:rPr>
          <w:sz w:val="24"/>
        </w:rPr>
        <w:tab/>
        <w:t>The recommendations were as follows:</w:t>
      </w:r>
    </w:p>
    <w:p w14:paraId="218C73D2" w14:textId="77777777" w:rsidR="007118AB" w:rsidRPr="007118AB" w:rsidRDefault="007118AB" w:rsidP="00DE0B84">
      <w:pPr>
        <w:jc w:val="both"/>
        <w:rPr>
          <w:sz w:val="24"/>
        </w:rPr>
      </w:pPr>
    </w:p>
    <w:p w14:paraId="2444020D" w14:textId="77777777" w:rsidR="00DE0B84" w:rsidRPr="007118AB" w:rsidRDefault="00CC28CD" w:rsidP="007118AB">
      <w:pPr>
        <w:tabs>
          <w:tab w:val="left" w:pos="709"/>
        </w:tabs>
        <w:spacing w:after="240"/>
        <w:ind w:left="1418" w:hanging="1418"/>
        <w:jc w:val="both"/>
        <w:rPr>
          <w:sz w:val="24"/>
        </w:rPr>
      </w:pPr>
      <w:r>
        <w:rPr>
          <w:sz w:val="24"/>
        </w:rPr>
        <w:tab/>
        <w:t>(1</w:t>
      </w:r>
      <w:r w:rsidR="007118AB" w:rsidRPr="007118AB">
        <w:rPr>
          <w:sz w:val="24"/>
        </w:rPr>
        <w:t>)</w:t>
      </w:r>
      <w:r w:rsidR="007118AB" w:rsidRPr="007118AB">
        <w:rPr>
          <w:sz w:val="24"/>
        </w:rPr>
        <w:tab/>
      </w:r>
      <w:r w:rsidR="00DE0B84" w:rsidRPr="007118AB">
        <w:rPr>
          <w:sz w:val="24"/>
        </w:rPr>
        <w:t>To institute disciplinary and incapacity proceedings against the Registrar/CEO, COO and General Manager of Legal Services;</w:t>
      </w:r>
    </w:p>
    <w:p w14:paraId="600F807E" w14:textId="77777777" w:rsidR="00DE0B84" w:rsidRPr="007118AB" w:rsidRDefault="00CC28CD" w:rsidP="007118AB">
      <w:pPr>
        <w:tabs>
          <w:tab w:val="left" w:pos="709"/>
        </w:tabs>
        <w:spacing w:after="240"/>
        <w:ind w:left="1418" w:hanging="1418"/>
        <w:jc w:val="both"/>
        <w:rPr>
          <w:sz w:val="24"/>
        </w:rPr>
      </w:pPr>
      <w:r>
        <w:rPr>
          <w:sz w:val="24"/>
        </w:rPr>
        <w:tab/>
        <w:t>(2</w:t>
      </w:r>
      <w:r w:rsidR="007118AB" w:rsidRPr="007118AB">
        <w:rPr>
          <w:sz w:val="24"/>
        </w:rPr>
        <w:t>)</w:t>
      </w:r>
      <w:r w:rsidR="007118AB" w:rsidRPr="007118AB">
        <w:rPr>
          <w:sz w:val="24"/>
        </w:rPr>
        <w:tab/>
      </w:r>
      <w:r w:rsidR="00DE0B84" w:rsidRPr="007118AB">
        <w:rPr>
          <w:sz w:val="24"/>
        </w:rPr>
        <w:t>To appoint an interim executive management team;</w:t>
      </w:r>
    </w:p>
    <w:p w14:paraId="4DC13E76" w14:textId="77777777" w:rsidR="00DE0B84" w:rsidRPr="007118AB" w:rsidRDefault="00CC28CD" w:rsidP="007118AB">
      <w:pPr>
        <w:tabs>
          <w:tab w:val="left" w:pos="709"/>
        </w:tabs>
        <w:spacing w:after="240"/>
        <w:ind w:left="1418" w:hanging="1418"/>
        <w:jc w:val="both"/>
        <w:rPr>
          <w:sz w:val="24"/>
        </w:rPr>
      </w:pPr>
      <w:r>
        <w:rPr>
          <w:sz w:val="24"/>
        </w:rPr>
        <w:tab/>
        <w:t>(3</w:t>
      </w:r>
      <w:r w:rsidR="007118AB" w:rsidRPr="007118AB">
        <w:rPr>
          <w:sz w:val="24"/>
        </w:rPr>
        <w:t>)</w:t>
      </w:r>
      <w:r w:rsidR="007118AB" w:rsidRPr="007118AB">
        <w:rPr>
          <w:sz w:val="24"/>
        </w:rPr>
        <w:tab/>
      </w:r>
      <w:r w:rsidR="00DE0B84" w:rsidRPr="007118AB">
        <w:rPr>
          <w:sz w:val="24"/>
        </w:rPr>
        <w:t>That the incoming and future Councils of the HPCSA should undergo a structured induction process to ensure an understanding and appreciation by all its members of their legal and governance obligations;</w:t>
      </w:r>
    </w:p>
    <w:p w14:paraId="098602CC" w14:textId="77777777" w:rsidR="00DE0B84" w:rsidRPr="007118AB" w:rsidRDefault="00CC28CD" w:rsidP="007118AB">
      <w:pPr>
        <w:tabs>
          <w:tab w:val="left" w:pos="709"/>
        </w:tabs>
        <w:spacing w:after="240"/>
        <w:ind w:left="1418" w:hanging="1418"/>
        <w:jc w:val="both"/>
        <w:rPr>
          <w:sz w:val="24"/>
        </w:rPr>
      </w:pPr>
      <w:r>
        <w:rPr>
          <w:sz w:val="24"/>
        </w:rPr>
        <w:tab/>
        <w:t>(4</w:t>
      </w:r>
      <w:r w:rsidR="007118AB" w:rsidRPr="007118AB">
        <w:rPr>
          <w:sz w:val="24"/>
        </w:rPr>
        <w:t>)</w:t>
      </w:r>
      <w:r w:rsidR="007118AB" w:rsidRPr="007118AB">
        <w:rPr>
          <w:sz w:val="24"/>
        </w:rPr>
        <w:tab/>
      </w:r>
      <w:r w:rsidR="00DE0B84" w:rsidRPr="007118AB">
        <w:rPr>
          <w:sz w:val="24"/>
        </w:rPr>
        <w:t>To address the recommendations of the KPMG Forensic Report of November 2011;</w:t>
      </w:r>
      <w:r w:rsidR="007118AB" w:rsidRPr="007118AB">
        <w:rPr>
          <w:sz w:val="24"/>
        </w:rPr>
        <w:t xml:space="preserve"> and</w:t>
      </w:r>
    </w:p>
    <w:p w14:paraId="7525FBFC" w14:textId="77777777" w:rsidR="00DE0B84" w:rsidRDefault="00CC28CD" w:rsidP="007118AB">
      <w:pPr>
        <w:tabs>
          <w:tab w:val="left" w:pos="709"/>
        </w:tabs>
        <w:spacing w:after="240"/>
        <w:ind w:left="1418" w:hanging="1418"/>
        <w:jc w:val="both"/>
        <w:rPr>
          <w:sz w:val="24"/>
        </w:rPr>
      </w:pPr>
      <w:r>
        <w:rPr>
          <w:sz w:val="24"/>
        </w:rPr>
        <w:tab/>
        <w:t>(5</w:t>
      </w:r>
      <w:r w:rsidR="007118AB" w:rsidRPr="007118AB">
        <w:rPr>
          <w:sz w:val="24"/>
        </w:rPr>
        <w:t>)</w:t>
      </w:r>
      <w:r w:rsidR="007118AB" w:rsidRPr="007118AB">
        <w:rPr>
          <w:sz w:val="24"/>
        </w:rPr>
        <w:tab/>
      </w:r>
      <w:r w:rsidR="00DE0B84" w:rsidRPr="007118AB">
        <w:rPr>
          <w:sz w:val="24"/>
        </w:rPr>
        <w:t>To institute a full organisational review and a proposal for a new governance and administrative structures for the future.</w:t>
      </w:r>
    </w:p>
    <w:p w14:paraId="4D40F55F" w14:textId="77777777" w:rsidR="00DE0B84" w:rsidRPr="007118AB" w:rsidRDefault="00CC28CD" w:rsidP="007118AB">
      <w:pPr>
        <w:tabs>
          <w:tab w:val="left" w:pos="709"/>
        </w:tabs>
        <w:spacing w:after="240"/>
        <w:ind w:left="1418" w:hanging="1418"/>
        <w:jc w:val="both"/>
        <w:rPr>
          <w:sz w:val="24"/>
        </w:rPr>
      </w:pPr>
      <w:r>
        <w:rPr>
          <w:sz w:val="24"/>
        </w:rPr>
        <w:t>(b)</w:t>
      </w:r>
      <w:r w:rsidR="007118AB">
        <w:rPr>
          <w:sz w:val="24"/>
        </w:rPr>
        <w:tab/>
        <w:t>(</w:t>
      </w:r>
      <w:proofErr w:type="spellStart"/>
      <w:proofErr w:type="gramStart"/>
      <w:r w:rsidR="007118AB">
        <w:rPr>
          <w:sz w:val="24"/>
        </w:rPr>
        <w:t>i</w:t>
      </w:r>
      <w:proofErr w:type="spellEnd"/>
      <w:proofErr w:type="gramEnd"/>
      <w:r w:rsidR="007118AB">
        <w:rPr>
          <w:sz w:val="24"/>
        </w:rPr>
        <w:t>)</w:t>
      </w:r>
      <w:r w:rsidR="007118AB">
        <w:rPr>
          <w:sz w:val="24"/>
        </w:rPr>
        <w:tab/>
      </w:r>
      <w:r w:rsidR="00DE0B84" w:rsidRPr="00545709">
        <w:rPr>
          <w:sz w:val="24"/>
        </w:rPr>
        <w:t>4 out of 5 have been carried out and finalised, namely –</w:t>
      </w:r>
    </w:p>
    <w:p w14:paraId="50121D0B" w14:textId="77777777" w:rsidR="00DE0B84" w:rsidRPr="007118AB" w:rsidRDefault="00DE0B84" w:rsidP="007118AB">
      <w:pPr>
        <w:pStyle w:val="ListParagraph"/>
        <w:spacing w:after="160" w:line="259" w:lineRule="auto"/>
        <w:ind w:left="1440"/>
        <w:jc w:val="both"/>
        <w:rPr>
          <w:i/>
          <w:sz w:val="24"/>
          <w:u w:val="single"/>
        </w:rPr>
      </w:pPr>
      <w:r w:rsidRPr="007118AB">
        <w:rPr>
          <w:i/>
          <w:sz w:val="24"/>
          <w:u w:val="single"/>
        </w:rPr>
        <w:t xml:space="preserve">To institute disciplinary and incapacity proceedings against the Registrar/CEO, COO and General Manager of Legal Services – </w:t>
      </w:r>
    </w:p>
    <w:p w14:paraId="61F11F89" w14:textId="77777777" w:rsidR="00DE0B84" w:rsidRPr="007118AB" w:rsidRDefault="00DE0B84" w:rsidP="007118AB">
      <w:pPr>
        <w:pStyle w:val="ListParagraph"/>
        <w:ind w:left="1080"/>
        <w:contextualSpacing w:val="0"/>
        <w:jc w:val="both"/>
        <w:rPr>
          <w:sz w:val="24"/>
        </w:rPr>
      </w:pPr>
    </w:p>
    <w:p w14:paraId="7A53C43A" w14:textId="77777777" w:rsidR="00DE0B84" w:rsidRPr="007118AB" w:rsidRDefault="007118AB" w:rsidP="007118AB">
      <w:pPr>
        <w:pStyle w:val="ListParagraph"/>
        <w:widowControl w:val="0"/>
        <w:tabs>
          <w:tab w:val="left" w:pos="389"/>
        </w:tabs>
        <w:ind w:left="1418"/>
        <w:contextualSpacing w:val="0"/>
        <w:jc w:val="both"/>
        <w:rPr>
          <w:sz w:val="24"/>
        </w:rPr>
      </w:pPr>
      <w:r w:rsidRPr="007118AB">
        <w:rPr>
          <w:rFonts w:eastAsia="Arial"/>
          <w:sz w:val="24"/>
        </w:rPr>
        <w:t>A</w:t>
      </w:r>
      <w:r w:rsidR="00DE0B84" w:rsidRPr="007118AB">
        <w:rPr>
          <w:rFonts w:eastAsia="Arial"/>
          <w:sz w:val="24"/>
        </w:rPr>
        <w:t xml:space="preserve">micable settlement agreements </w:t>
      </w:r>
      <w:proofErr w:type="gramStart"/>
      <w:r w:rsidR="00DE0B84" w:rsidRPr="007118AB">
        <w:rPr>
          <w:rFonts w:eastAsia="Arial"/>
          <w:sz w:val="24"/>
        </w:rPr>
        <w:t>were reached</w:t>
      </w:r>
      <w:proofErr w:type="gramEnd"/>
      <w:r w:rsidR="00DE0B84" w:rsidRPr="007118AB">
        <w:rPr>
          <w:rFonts w:eastAsia="Arial"/>
          <w:sz w:val="24"/>
        </w:rPr>
        <w:t xml:space="preserve"> with the previous Registrar/CEO and COO. T</w:t>
      </w:r>
      <w:r w:rsidR="0073145E">
        <w:rPr>
          <w:rFonts w:eastAsia="Arial"/>
          <w:sz w:val="24"/>
        </w:rPr>
        <w:t xml:space="preserve">he settlement </w:t>
      </w:r>
      <w:proofErr w:type="gramStart"/>
      <w:r w:rsidR="0073145E">
        <w:rPr>
          <w:rFonts w:eastAsia="Arial"/>
          <w:sz w:val="24"/>
        </w:rPr>
        <w:t>was done</w:t>
      </w:r>
      <w:proofErr w:type="gramEnd"/>
      <w:r w:rsidR="0073145E">
        <w:rPr>
          <w:rFonts w:eastAsia="Arial"/>
          <w:sz w:val="24"/>
        </w:rPr>
        <w:t xml:space="preserve"> according to the legal advice the Council obtained.</w:t>
      </w:r>
    </w:p>
    <w:p w14:paraId="7A9BCFC4" w14:textId="77777777" w:rsidR="00DE0B84" w:rsidRPr="007118AB" w:rsidRDefault="00DE0B84" w:rsidP="00DE0B84">
      <w:pPr>
        <w:pStyle w:val="ListParagraph"/>
        <w:ind w:left="1080"/>
        <w:jc w:val="both"/>
        <w:rPr>
          <w:b/>
          <w:i/>
          <w:sz w:val="24"/>
        </w:rPr>
      </w:pPr>
    </w:p>
    <w:p w14:paraId="467E8538" w14:textId="77777777" w:rsidR="00DE0B84" w:rsidRPr="007118AB" w:rsidRDefault="00DE0B84" w:rsidP="004D0EB6">
      <w:pPr>
        <w:pStyle w:val="ListParagraph"/>
        <w:spacing w:after="160" w:line="259" w:lineRule="auto"/>
        <w:ind w:left="1440"/>
        <w:jc w:val="both"/>
        <w:rPr>
          <w:i/>
          <w:sz w:val="24"/>
          <w:u w:val="single"/>
        </w:rPr>
      </w:pPr>
      <w:r w:rsidRPr="007118AB">
        <w:rPr>
          <w:i/>
          <w:sz w:val="24"/>
          <w:u w:val="single"/>
        </w:rPr>
        <w:t>To appoint an interim executive management team</w:t>
      </w:r>
    </w:p>
    <w:p w14:paraId="7EC98849" w14:textId="77777777" w:rsidR="00DE0B84" w:rsidRPr="007118AB" w:rsidRDefault="00DE0B84" w:rsidP="00DE0B84">
      <w:pPr>
        <w:pStyle w:val="ListParagraph"/>
        <w:ind w:left="1080"/>
        <w:jc w:val="both"/>
        <w:rPr>
          <w:b/>
          <w:i/>
          <w:sz w:val="24"/>
        </w:rPr>
      </w:pPr>
    </w:p>
    <w:p w14:paraId="147E5BA6" w14:textId="77777777" w:rsidR="00DE0B84" w:rsidRDefault="00DE0B84" w:rsidP="004D0EB6">
      <w:pPr>
        <w:pStyle w:val="ListParagraph"/>
        <w:widowControl w:val="0"/>
        <w:tabs>
          <w:tab w:val="left" w:pos="392"/>
        </w:tabs>
        <w:ind w:left="1418"/>
        <w:contextualSpacing w:val="0"/>
        <w:jc w:val="both"/>
        <w:rPr>
          <w:rFonts w:eastAsia="Arial"/>
          <w:sz w:val="24"/>
        </w:rPr>
      </w:pPr>
      <w:r w:rsidRPr="004D0EB6">
        <w:rPr>
          <w:rFonts w:eastAsia="Arial"/>
          <w:sz w:val="24"/>
        </w:rPr>
        <w:t xml:space="preserve">Council had resolved that should the need arise to fill a vacuum within the Executive Management </w:t>
      </w:r>
      <w:proofErr w:type="gramStart"/>
      <w:r w:rsidRPr="004D0EB6">
        <w:rPr>
          <w:rFonts w:eastAsia="Arial"/>
          <w:sz w:val="24"/>
        </w:rPr>
        <w:t>team,</w:t>
      </w:r>
      <w:proofErr w:type="gramEnd"/>
      <w:r w:rsidRPr="004D0EB6">
        <w:rPr>
          <w:rFonts w:eastAsia="Arial"/>
          <w:sz w:val="24"/>
        </w:rPr>
        <w:t xml:space="preserve"> Council would attend to the appointments in line with the Act and the prescribed policies of Council. </w:t>
      </w:r>
    </w:p>
    <w:p w14:paraId="4E8E9DFC" w14:textId="77777777" w:rsidR="004D0EB6" w:rsidRPr="004D0EB6" w:rsidRDefault="004D0EB6" w:rsidP="004D0EB6">
      <w:pPr>
        <w:pStyle w:val="ListParagraph"/>
        <w:widowControl w:val="0"/>
        <w:tabs>
          <w:tab w:val="left" w:pos="392"/>
        </w:tabs>
        <w:ind w:left="1418"/>
        <w:contextualSpacing w:val="0"/>
        <w:jc w:val="both"/>
        <w:rPr>
          <w:rFonts w:eastAsia="Arial"/>
          <w:sz w:val="24"/>
        </w:rPr>
      </w:pPr>
    </w:p>
    <w:p w14:paraId="504FAC9B" w14:textId="77777777" w:rsidR="00DE0B84" w:rsidRPr="004D0EB6" w:rsidRDefault="00DE0B84" w:rsidP="004D0EB6">
      <w:pPr>
        <w:pStyle w:val="ListParagraph"/>
        <w:widowControl w:val="0"/>
        <w:tabs>
          <w:tab w:val="left" w:pos="392"/>
        </w:tabs>
        <w:ind w:left="1080"/>
        <w:contextualSpacing w:val="0"/>
        <w:jc w:val="both"/>
        <w:rPr>
          <w:rFonts w:eastAsia="Arial"/>
          <w:sz w:val="24"/>
        </w:rPr>
      </w:pPr>
    </w:p>
    <w:p w14:paraId="1B9D8AE8" w14:textId="77777777" w:rsidR="00DE0B84" w:rsidRPr="004D0EB6" w:rsidRDefault="00DE0B84" w:rsidP="004D0EB6">
      <w:pPr>
        <w:pStyle w:val="ListParagraph"/>
        <w:widowControl w:val="0"/>
        <w:tabs>
          <w:tab w:val="left" w:pos="392"/>
        </w:tabs>
        <w:ind w:left="1418"/>
        <w:contextualSpacing w:val="0"/>
        <w:jc w:val="both"/>
        <w:rPr>
          <w:rFonts w:eastAsia="Arial"/>
          <w:sz w:val="24"/>
        </w:rPr>
      </w:pPr>
      <w:r w:rsidRPr="004D0EB6">
        <w:rPr>
          <w:rFonts w:eastAsia="Arial"/>
          <w:sz w:val="24"/>
        </w:rPr>
        <w:lastRenderedPageBreak/>
        <w:t xml:space="preserve">All critical vacant senior management positions </w:t>
      </w:r>
      <w:proofErr w:type="gramStart"/>
      <w:r w:rsidRPr="004D0EB6">
        <w:rPr>
          <w:rFonts w:eastAsia="Arial"/>
          <w:sz w:val="24"/>
        </w:rPr>
        <w:t>were filled</w:t>
      </w:r>
      <w:proofErr w:type="gramEnd"/>
      <w:r w:rsidRPr="004D0EB6">
        <w:rPr>
          <w:rFonts w:eastAsia="Arial"/>
          <w:sz w:val="24"/>
        </w:rPr>
        <w:t xml:space="preserve"> with a diverse team that was able to ensure that the HPCSA upholds its mandate of protecting the public and guiding the professions.</w:t>
      </w:r>
    </w:p>
    <w:p w14:paraId="05E69C89" w14:textId="77777777" w:rsidR="00DE0B84" w:rsidRPr="007118AB" w:rsidRDefault="00DE0B84" w:rsidP="00DE0B84">
      <w:pPr>
        <w:pStyle w:val="ListParagraph"/>
        <w:ind w:left="1080"/>
        <w:jc w:val="both"/>
        <w:rPr>
          <w:b/>
          <w:i/>
          <w:sz w:val="24"/>
        </w:rPr>
      </w:pPr>
    </w:p>
    <w:p w14:paraId="7B0FD45C" w14:textId="77777777" w:rsidR="00DE0B84" w:rsidRPr="007118AB" w:rsidRDefault="00DE0B84" w:rsidP="004D0EB6">
      <w:pPr>
        <w:pStyle w:val="ListParagraph"/>
        <w:spacing w:after="160" w:line="259" w:lineRule="auto"/>
        <w:ind w:left="1440"/>
        <w:jc w:val="both"/>
        <w:rPr>
          <w:i/>
          <w:sz w:val="24"/>
          <w:u w:val="single"/>
        </w:rPr>
      </w:pPr>
      <w:r w:rsidRPr="007118AB">
        <w:rPr>
          <w:i/>
          <w:sz w:val="24"/>
          <w:u w:val="single"/>
        </w:rPr>
        <w:t>That the incoming and future Councils of the HPCSA should undergo a structured induction process to ensure an understanding and appreciation by all its members of their legal and governance obligations;</w:t>
      </w:r>
    </w:p>
    <w:p w14:paraId="2952CE27" w14:textId="77777777" w:rsidR="00DE0B84" w:rsidRPr="007118AB" w:rsidRDefault="00DE0B84" w:rsidP="00DE0B84">
      <w:pPr>
        <w:pStyle w:val="ListParagraph"/>
        <w:widowControl w:val="0"/>
        <w:tabs>
          <w:tab w:val="left" w:pos="392"/>
        </w:tabs>
        <w:spacing w:line="360" w:lineRule="auto"/>
        <w:ind w:left="1080"/>
        <w:jc w:val="both"/>
        <w:rPr>
          <w:rFonts w:eastAsia="Arial"/>
          <w:b/>
          <w:sz w:val="24"/>
        </w:rPr>
      </w:pPr>
    </w:p>
    <w:p w14:paraId="68BB640A" w14:textId="77777777" w:rsidR="00DE0B84" w:rsidRPr="004D0EB6" w:rsidRDefault="00DE0B84" w:rsidP="004D0EB6">
      <w:pPr>
        <w:pStyle w:val="ListParagraph"/>
        <w:widowControl w:val="0"/>
        <w:tabs>
          <w:tab w:val="left" w:pos="392"/>
        </w:tabs>
        <w:ind w:left="1418"/>
        <w:contextualSpacing w:val="0"/>
        <w:jc w:val="both"/>
        <w:rPr>
          <w:rFonts w:eastAsia="Arial"/>
          <w:sz w:val="24"/>
        </w:rPr>
      </w:pPr>
      <w:r w:rsidRPr="004D0EB6">
        <w:rPr>
          <w:rFonts w:eastAsia="Arial"/>
          <w:sz w:val="24"/>
        </w:rPr>
        <w:t xml:space="preserve">The Council noted the recommendations and the inductions did occur and training </w:t>
      </w:r>
      <w:proofErr w:type="gramStart"/>
      <w:r w:rsidRPr="004D0EB6">
        <w:rPr>
          <w:rFonts w:eastAsia="Arial"/>
          <w:sz w:val="24"/>
        </w:rPr>
        <w:t>was provided</w:t>
      </w:r>
      <w:proofErr w:type="gramEnd"/>
      <w:r w:rsidRPr="004D0EB6">
        <w:rPr>
          <w:rFonts w:eastAsia="Arial"/>
          <w:sz w:val="24"/>
        </w:rPr>
        <w:t>. Training of the Council and its structure are ongoing as detailed in the Council’s Annual Performance Plans.</w:t>
      </w:r>
    </w:p>
    <w:p w14:paraId="77F9C479" w14:textId="77777777" w:rsidR="00DE0B84" w:rsidRPr="004D0EB6" w:rsidRDefault="00DE0B84" w:rsidP="004D0EB6">
      <w:pPr>
        <w:pStyle w:val="ListParagraph"/>
        <w:widowControl w:val="0"/>
        <w:tabs>
          <w:tab w:val="left" w:pos="392"/>
        </w:tabs>
        <w:ind w:left="1418"/>
        <w:contextualSpacing w:val="0"/>
        <w:jc w:val="both"/>
        <w:rPr>
          <w:rFonts w:eastAsia="Arial"/>
          <w:sz w:val="24"/>
        </w:rPr>
      </w:pPr>
    </w:p>
    <w:p w14:paraId="43F344ED" w14:textId="77777777" w:rsidR="00DE0B84" w:rsidRPr="007118AB" w:rsidRDefault="00DE0B84" w:rsidP="004D0EB6">
      <w:pPr>
        <w:pStyle w:val="ListParagraph"/>
        <w:widowControl w:val="0"/>
        <w:tabs>
          <w:tab w:val="left" w:pos="392"/>
        </w:tabs>
        <w:ind w:left="1418"/>
        <w:contextualSpacing w:val="0"/>
        <w:jc w:val="both"/>
        <w:rPr>
          <w:rFonts w:eastAsia="Arial"/>
          <w:b/>
          <w:i/>
          <w:sz w:val="24"/>
        </w:rPr>
      </w:pPr>
      <w:r w:rsidRPr="004D0EB6">
        <w:rPr>
          <w:rFonts w:eastAsia="Arial"/>
          <w:sz w:val="24"/>
        </w:rPr>
        <w:t xml:space="preserve">See Council’s </w:t>
      </w:r>
      <w:proofErr w:type="spellStart"/>
      <w:r w:rsidRPr="004D0EB6">
        <w:rPr>
          <w:rFonts w:eastAsia="Arial"/>
          <w:sz w:val="24"/>
        </w:rPr>
        <w:t>mid terms</w:t>
      </w:r>
      <w:proofErr w:type="spellEnd"/>
      <w:r w:rsidRPr="004D0EB6">
        <w:rPr>
          <w:rFonts w:eastAsia="Arial"/>
          <w:sz w:val="24"/>
        </w:rPr>
        <w:t xml:space="preserve"> performance report attached under </w:t>
      </w:r>
      <w:r w:rsidRPr="004D0EB6">
        <w:rPr>
          <w:rFonts w:eastAsia="Arial"/>
          <w:sz w:val="24"/>
          <w:u w:val="single"/>
        </w:rPr>
        <w:t>Annexure G1</w:t>
      </w:r>
      <w:r w:rsidRPr="004D0EB6">
        <w:rPr>
          <w:rFonts w:eastAsia="Arial"/>
          <w:sz w:val="24"/>
        </w:rPr>
        <w:t xml:space="preserve">. As well as Councils Annual Performance Plan for 18/19 under </w:t>
      </w:r>
      <w:r w:rsidRPr="004D0EB6">
        <w:rPr>
          <w:rFonts w:eastAsia="Arial"/>
          <w:sz w:val="24"/>
          <w:u w:val="single"/>
        </w:rPr>
        <w:t>Annexure G2</w:t>
      </w:r>
      <w:r w:rsidRPr="004D0EB6">
        <w:rPr>
          <w:rFonts w:eastAsia="Arial"/>
          <w:sz w:val="24"/>
        </w:rPr>
        <w:t xml:space="preserve">. </w:t>
      </w:r>
    </w:p>
    <w:p w14:paraId="66A81262" w14:textId="77777777" w:rsidR="00DE0B84" w:rsidRPr="007118AB" w:rsidRDefault="00DE0B84" w:rsidP="00DE0B84">
      <w:pPr>
        <w:pStyle w:val="ListParagraph"/>
        <w:widowControl w:val="0"/>
        <w:tabs>
          <w:tab w:val="left" w:pos="392"/>
        </w:tabs>
        <w:spacing w:line="360" w:lineRule="auto"/>
        <w:ind w:left="1080"/>
        <w:jc w:val="both"/>
        <w:rPr>
          <w:rFonts w:eastAsia="Arial"/>
          <w:i/>
          <w:sz w:val="24"/>
        </w:rPr>
      </w:pPr>
    </w:p>
    <w:p w14:paraId="58D63515" w14:textId="77777777" w:rsidR="00DE0B84" w:rsidRPr="007118AB" w:rsidRDefault="00DE0B84" w:rsidP="004D0EB6">
      <w:pPr>
        <w:pStyle w:val="ListParagraph"/>
        <w:spacing w:after="160" w:line="259" w:lineRule="auto"/>
        <w:ind w:left="1440"/>
        <w:jc w:val="both"/>
        <w:rPr>
          <w:i/>
          <w:sz w:val="24"/>
          <w:u w:val="single"/>
        </w:rPr>
      </w:pPr>
      <w:r w:rsidRPr="007118AB">
        <w:rPr>
          <w:i/>
          <w:sz w:val="24"/>
          <w:u w:val="single"/>
        </w:rPr>
        <w:t>To address the recommendations of the KPMG Forensic Report of November 2011</w:t>
      </w:r>
    </w:p>
    <w:p w14:paraId="2CBF4DA8" w14:textId="77777777" w:rsidR="00DE0B84" w:rsidRPr="007118AB" w:rsidRDefault="00DE0B84" w:rsidP="00DE0B84">
      <w:pPr>
        <w:pStyle w:val="ListParagraph"/>
        <w:widowControl w:val="0"/>
        <w:tabs>
          <w:tab w:val="left" w:pos="392"/>
        </w:tabs>
        <w:spacing w:line="360" w:lineRule="auto"/>
        <w:ind w:left="1080"/>
        <w:rPr>
          <w:rFonts w:eastAsia="Arial"/>
          <w:b/>
          <w:sz w:val="24"/>
        </w:rPr>
      </w:pPr>
    </w:p>
    <w:p w14:paraId="4212F681" w14:textId="77777777" w:rsidR="00DE0B84" w:rsidRDefault="00DE0B84" w:rsidP="004D0EB6">
      <w:pPr>
        <w:pStyle w:val="ListParagraph"/>
        <w:widowControl w:val="0"/>
        <w:tabs>
          <w:tab w:val="left" w:pos="392"/>
        </w:tabs>
        <w:ind w:left="1418"/>
        <w:contextualSpacing w:val="0"/>
        <w:jc w:val="both"/>
        <w:rPr>
          <w:rFonts w:eastAsia="Arial"/>
          <w:sz w:val="24"/>
        </w:rPr>
      </w:pPr>
      <w:r w:rsidRPr="004D0EB6">
        <w:rPr>
          <w:rFonts w:eastAsia="Arial"/>
          <w:sz w:val="24"/>
        </w:rPr>
        <w:t xml:space="preserve">The Council reviewed the KPMG reports and its recommendations and resolved as follows – </w:t>
      </w:r>
    </w:p>
    <w:p w14:paraId="6C878FD9" w14:textId="77777777" w:rsidR="004D0EB6" w:rsidRPr="004D0EB6" w:rsidRDefault="004D0EB6" w:rsidP="004D0EB6">
      <w:pPr>
        <w:pStyle w:val="ListParagraph"/>
        <w:widowControl w:val="0"/>
        <w:tabs>
          <w:tab w:val="left" w:pos="392"/>
        </w:tabs>
        <w:ind w:left="1418"/>
        <w:contextualSpacing w:val="0"/>
        <w:jc w:val="both"/>
        <w:rPr>
          <w:rFonts w:eastAsia="Arial"/>
          <w:sz w:val="24"/>
        </w:rPr>
      </w:pPr>
    </w:p>
    <w:p w14:paraId="27A661A2" w14:textId="77777777" w:rsidR="00DE0B84" w:rsidRPr="007118AB" w:rsidRDefault="00DE0B84" w:rsidP="00551F7B">
      <w:pPr>
        <w:pStyle w:val="BodyText"/>
        <w:numPr>
          <w:ilvl w:val="0"/>
          <w:numId w:val="1"/>
        </w:numPr>
        <w:pBdr>
          <w:top w:val="single" w:sz="4" w:space="1" w:color="auto"/>
          <w:left w:val="single" w:sz="4" w:space="0" w:color="auto"/>
          <w:bottom w:val="single" w:sz="4" w:space="1" w:color="auto"/>
          <w:right w:val="single" w:sz="4" w:space="4" w:color="auto"/>
        </w:pBdr>
        <w:shd w:val="clear" w:color="auto" w:fill="F2F2F2" w:themeFill="background1" w:themeFillShade="F2"/>
        <w:spacing w:line="276" w:lineRule="auto"/>
        <w:ind w:left="1418" w:firstLine="0"/>
        <w:rPr>
          <w:b/>
          <w:sz w:val="24"/>
        </w:rPr>
      </w:pPr>
      <w:r w:rsidRPr="007118AB">
        <w:rPr>
          <w:b/>
          <w:sz w:val="24"/>
        </w:rPr>
        <w:t>Recommendation One: Waymark Contract</w:t>
      </w:r>
    </w:p>
    <w:p w14:paraId="34FC499C" w14:textId="77777777" w:rsidR="00DE0B84" w:rsidRPr="007118AB" w:rsidRDefault="00DE0B84" w:rsidP="00DE0B84">
      <w:pPr>
        <w:pStyle w:val="BodyText"/>
        <w:spacing w:line="276" w:lineRule="auto"/>
        <w:ind w:left="851"/>
        <w:rPr>
          <w:sz w:val="24"/>
        </w:rPr>
      </w:pPr>
    </w:p>
    <w:p w14:paraId="4DA0C3A2" w14:textId="77777777" w:rsidR="00DE0B84" w:rsidRPr="007118AB" w:rsidRDefault="004D0EB6" w:rsidP="00DE0B84">
      <w:pPr>
        <w:pStyle w:val="BodyText"/>
        <w:spacing w:line="276" w:lineRule="auto"/>
        <w:ind w:left="851"/>
        <w:rPr>
          <w:sz w:val="24"/>
        </w:rPr>
      </w:pPr>
      <w:r>
        <w:rPr>
          <w:sz w:val="24"/>
        </w:rPr>
        <w:tab/>
      </w:r>
      <w:r w:rsidR="00DE0B84" w:rsidRPr="007118AB">
        <w:rPr>
          <w:sz w:val="24"/>
        </w:rPr>
        <w:t>Extract from KPMG Report –</w:t>
      </w:r>
    </w:p>
    <w:p w14:paraId="2B7DEF26" w14:textId="77777777" w:rsidR="00DE0B84" w:rsidRPr="007118AB" w:rsidRDefault="00DE0B84" w:rsidP="00DE0B84">
      <w:pPr>
        <w:pStyle w:val="BodyText"/>
        <w:spacing w:line="276" w:lineRule="auto"/>
        <w:ind w:left="851"/>
        <w:rPr>
          <w:sz w:val="24"/>
        </w:rPr>
      </w:pPr>
    </w:p>
    <w:p w14:paraId="194C61B8" w14:textId="77777777" w:rsidR="00DE0B84" w:rsidRPr="007118AB" w:rsidRDefault="00DE0B84" w:rsidP="004D0EB6">
      <w:pPr>
        <w:pStyle w:val="BodyText"/>
        <w:spacing w:line="276" w:lineRule="auto"/>
        <w:ind w:left="1418"/>
        <w:rPr>
          <w:i/>
          <w:sz w:val="24"/>
        </w:rPr>
      </w:pPr>
      <w:r w:rsidRPr="007118AB">
        <w:rPr>
          <w:i/>
          <w:sz w:val="24"/>
        </w:rPr>
        <w:t>“Although the Waymark contract provides for the rectification of errors by Waymark at their own cost, provided that the HPCSA informs Waymark of such faulty execution to the remedied, this course of action was not taken by the HPCSA.</w:t>
      </w:r>
    </w:p>
    <w:p w14:paraId="224D8C50" w14:textId="77777777" w:rsidR="00DE0B84" w:rsidRPr="007118AB" w:rsidRDefault="00DE0B84" w:rsidP="004D0EB6">
      <w:pPr>
        <w:pStyle w:val="BodyText"/>
        <w:spacing w:line="276" w:lineRule="auto"/>
        <w:ind w:left="1418"/>
        <w:rPr>
          <w:i/>
          <w:sz w:val="24"/>
        </w:rPr>
      </w:pPr>
    </w:p>
    <w:p w14:paraId="140CA2F2" w14:textId="77777777" w:rsidR="00DE0B84" w:rsidRPr="007118AB" w:rsidRDefault="00DE0B84" w:rsidP="004D0EB6">
      <w:pPr>
        <w:pStyle w:val="BodyText"/>
        <w:spacing w:line="276" w:lineRule="auto"/>
        <w:ind w:left="1418"/>
        <w:rPr>
          <w:i/>
          <w:sz w:val="24"/>
        </w:rPr>
      </w:pPr>
      <w:r w:rsidRPr="007118AB">
        <w:rPr>
          <w:i/>
          <w:sz w:val="24"/>
        </w:rPr>
        <w:t>We strongly recommend that the HPCSA obtain an independent legal opinion with regards to possible recourse in respect of the Waymark contract to remedy the ERS implementation issues.</w:t>
      </w:r>
      <w:proofErr w:type="gramStart"/>
      <w:r w:rsidRPr="007118AB">
        <w:rPr>
          <w:i/>
          <w:sz w:val="24"/>
        </w:rPr>
        <w:t>”.</w:t>
      </w:r>
      <w:proofErr w:type="gramEnd"/>
    </w:p>
    <w:p w14:paraId="43D3D523" w14:textId="77777777" w:rsidR="00DE0B84" w:rsidRPr="007118AB" w:rsidRDefault="00DE0B84" w:rsidP="00DE0B84">
      <w:pPr>
        <w:pStyle w:val="BodyText"/>
        <w:spacing w:line="276" w:lineRule="auto"/>
        <w:ind w:left="851"/>
        <w:rPr>
          <w:sz w:val="24"/>
        </w:rPr>
      </w:pPr>
    </w:p>
    <w:p w14:paraId="30A47489" w14:textId="77777777" w:rsidR="00DE0B84" w:rsidRPr="007118AB" w:rsidRDefault="00DE0B84" w:rsidP="004D0EB6">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rPr>
          <w:b/>
          <w:sz w:val="24"/>
        </w:rPr>
      </w:pPr>
      <w:r w:rsidRPr="007118AB">
        <w:rPr>
          <w:b/>
          <w:sz w:val="24"/>
        </w:rPr>
        <w:t>Action</w:t>
      </w:r>
      <w:r w:rsidR="0073145E">
        <w:rPr>
          <w:b/>
          <w:sz w:val="24"/>
        </w:rPr>
        <w:t xml:space="preserve"> by the previous Council</w:t>
      </w:r>
    </w:p>
    <w:p w14:paraId="301776ED" w14:textId="77777777" w:rsidR="00DE0B84" w:rsidRPr="007118AB" w:rsidRDefault="00DE0B84" w:rsidP="00DE0B84">
      <w:pPr>
        <w:pStyle w:val="BodyText"/>
        <w:spacing w:line="276" w:lineRule="auto"/>
        <w:ind w:left="851"/>
        <w:rPr>
          <w:sz w:val="24"/>
        </w:rPr>
      </w:pPr>
    </w:p>
    <w:p w14:paraId="0F3A1CB2" w14:textId="77777777" w:rsidR="00DE0B84" w:rsidRDefault="004D0EB6" w:rsidP="004D0EB6">
      <w:pPr>
        <w:pStyle w:val="ListParagraph"/>
        <w:spacing w:after="240" w:line="276" w:lineRule="auto"/>
        <w:ind w:left="2127" w:hanging="709"/>
        <w:contextualSpacing w:val="0"/>
        <w:jc w:val="both"/>
        <w:rPr>
          <w:sz w:val="24"/>
        </w:rPr>
      </w:pPr>
      <w:r>
        <w:rPr>
          <w:sz w:val="24"/>
        </w:rPr>
        <w:t>(</w:t>
      </w:r>
      <w:proofErr w:type="spellStart"/>
      <w:r>
        <w:rPr>
          <w:sz w:val="24"/>
        </w:rPr>
        <w:t>i</w:t>
      </w:r>
      <w:proofErr w:type="spellEnd"/>
      <w:r>
        <w:rPr>
          <w:sz w:val="24"/>
        </w:rPr>
        <w:t>)</w:t>
      </w:r>
      <w:r>
        <w:rPr>
          <w:sz w:val="24"/>
        </w:rPr>
        <w:tab/>
      </w:r>
      <w:r w:rsidR="00DE0B84" w:rsidRPr="007118AB">
        <w:rPr>
          <w:sz w:val="24"/>
        </w:rPr>
        <w:t xml:space="preserve">The matter </w:t>
      </w:r>
      <w:proofErr w:type="gramStart"/>
      <w:r w:rsidR="00DE0B84" w:rsidRPr="007118AB">
        <w:rPr>
          <w:sz w:val="24"/>
        </w:rPr>
        <w:t>was referred</w:t>
      </w:r>
      <w:proofErr w:type="gramEnd"/>
      <w:r w:rsidR="00DE0B84" w:rsidRPr="007118AB">
        <w:rPr>
          <w:sz w:val="24"/>
        </w:rPr>
        <w:t xml:space="preserve"> to legal counsel (i.e. Bowman Gilfillan) in 2012/2013.</w:t>
      </w:r>
    </w:p>
    <w:p w14:paraId="436B8DCA" w14:textId="77777777" w:rsidR="00DE0B84" w:rsidRDefault="004D0EB6" w:rsidP="004D0EB6">
      <w:pPr>
        <w:pStyle w:val="ListParagraph"/>
        <w:spacing w:after="240" w:line="276" w:lineRule="auto"/>
        <w:ind w:left="2127" w:hanging="709"/>
        <w:contextualSpacing w:val="0"/>
        <w:jc w:val="both"/>
        <w:rPr>
          <w:sz w:val="24"/>
        </w:rPr>
      </w:pPr>
      <w:r>
        <w:rPr>
          <w:sz w:val="24"/>
        </w:rPr>
        <w:t>(ii)</w:t>
      </w:r>
      <w:r>
        <w:rPr>
          <w:sz w:val="24"/>
        </w:rPr>
        <w:tab/>
      </w:r>
      <w:r w:rsidR="00DE0B84" w:rsidRPr="007118AB">
        <w:rPr>
          <w:sz w:val="24"/>
        </w:rPr>
        <w:t xml:space="preserve">Further to the opinion, Bowman Gilfillan advised that it would be necessary to interview Adv B </w:t>
      </w:r>
      <w:proofErr w:type="spellStart"/>
      <w:r w:rsidR="00DE0B84" w:rsidRPr="007118AB">
        <w:rPr>
          <w:sz w:val="24"/>
        </w:rPr>
        <w:t>Mkhize</w:t>
      </w:r>
      <w:proofErr w:type="spellEnd"/>
      <w:r w:rsidR="0073145E">
        <w:rPr>
          <w:sz w:val="24"/>
        </w:rPr>
        <w:t xml:space="preserve">, the former Registrar/CEO. </w:t>
      </w:r>
      <w:proofErr w:type="gramStart"/>
      <w:r w:rsidR="0073145E">
        <w:rPr>
          <w:sz w:val="24"/>
        </w:rPr>
        <w:t>Unfortunately</w:t>
      </w:r>
      <w:proofErr w:type="gramEnd"/>
      <w:r w:rsidR="0073145E">
        <w:rPr>
          <w:sz w:val="24"/>
        </w:rPr>
        <w:t xml:space="preserve"> the previous Council went out</w:t>
      </w:r>
      <w:r w:rsidR="00865449">
        <w:rPr>
          <w:sz w:val="24"/>
        </w:rPr>
        <w:t xml:space="preserve"> of office before doing so because Adv </w:t>
      </w:r>
      <w:proofErr w:type="spellStart"/>
      <w:r w:rsidR="00865449">
        <w:rPr>
          <w:sz w:val="24"/>
        </w:rPr>
        <w:t>Mkhize</w:t>
      </w:r>
      <w:proofErr w:type="spellEnd"/>
      <w:r w:rsidR="00865449">
        <w:rPr>
          <w:sz w:val="24"/>
        </w:rPr>
        <w:t xml:space="preserve"> is no longer an employee of the Council.</w:t>
      </w:r>
    </w:p>
    <w:p w14:paraId="102B4FE8" w14:textId="77777777" w:rsidR="00865449" w:rsidRDefault="00865449" w:rsidP="004D0EB6">
      <w:pPr>
        <w:pStyle w:val="ListParagraph"/>
        <w:spacing w:after="240" w:line="276" w:lineRule="auto"/>
        <w:ind w:left="2127" w:hanging="709"/>
        <w:contextualSpacing w:val="0"/>
        <w:jc w:val="both"/>
        <w:rPr>
          <w:sz w:val="24"/>
        </w:rPr>
      </w:pPr>
    </w:p>
    <w:p w14:paraId="68A542BB" w14:textId="77777777" w:rsidR="00865449" w:rsidRDefault="00865449" w:rsidP="004D0EB6">
      <w:pPr>
        <w:pStyle w:val="ListParagraph"/>
        <w:spacing w:after="240" w:line="276" w:lineRule="auto"/>
        <w:ind w:left="2127" w:hanging="709"/>
        <w:contextualSpacing w:val="0"/>
        <w:jc w:val="both"/>
        <w:rPr>
          <w:sz w:val="24"/>
        </w:rPr>
      </w:pPr>
    </w:p>
    <w:p w14:paraId="26FDFCC4" w14:textId="77777777" w:rsidR="00DE0B84" w:rsidRPr="007118AB" w:rsidRDefault="00DE0B84" w:rsidP="004D0EB6">
      <w:pPr>
        <w:pStyle w:val="BodyText"/>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ind w:left="1418"/>
        <w:rPr>
          <w:b/>
          <w:sz w:val="24"/>
        </w:rPr>
      </w:pPr>
      <w:r w:rsidRPr="007118AB">
        <w:rPr>
          <w:b/>
          <w:sz w:val="24"/>
        </w:rPr>
        <w:lastRenderedPageBreak/>
        <w:t>Action</w:t>
      </w:r>
      <w:r w:rsidR="00865449">
        <w:rPr>
          <w:b/>
          <w:sz w:val="24"/>
        </w:rPr>
        <w:t xml:space="preserve"> by current Council</w:t>
      </w:r>
    </w:p>
    <w:p w14:paraId="78D6B634" w14:textId="77777777" w:rsidR="00DE0B84" w:rsidRPr="007118AB" w:rsidRDefault="00DE0B84" w:rsidP="00DE0B84">
      <w:pPr>
        <w:spacing w:line="276" w:lineRule="auto"/>
        <w:ind w:left="851"/>
        <w:jc w:val="both"/>
        <w:rPr>
          <w:sz w:val="24"/>
        </w:rPr>
      </w:pPr>
    </w:p>
    <w:p w14:paraId="6018E246" w14:textId="77777777" w:rsidR="00DE0B84" w:rsidRPr="007118AB" w:rsidRDefault="00DE0B84" w:rsidP="004D0EB6">
      <w:pPr>
        <w:spacing w:line="276" w:lineRule="auto"/>
        <w:ind w:left="1276"/>
        <w:jc w:val="both"/>
        <w:rPr>
          <w:sz w:val="24"/>
        </w:rPr>
      </w:pPr>
      <w:r w:rsidRPr="007118AB">
        <w:rPr>
          <w:sz w:val="24"/>
        </w:rPr>
        <w:t xml:space="preserve">Council </w:t>
      </w:r>
      <w:r w:rsidRPr="007118AB">
        <w:rPr>
          <w:b/>
          <w:sz w:val="24"/>
        </w:rPr>
        <w:t>RESOLVED</w:t>
      </w:r>
      <w:r w:rsidRPr="007118AB">
        <w:rPr>
          <w:sz w:val="24"/>
        </w:rPr>
        <w:t xml:space="preserve"> that the matter </w:t>
      </w:r>
      <w:proofErr w:type="gramStart"/>
      <w:r w:rsidRPr="007118AB">
        <w:rPr>
          <w:sz w:val="24"/>
        </w:rPr>
        <w:t>be closed</w:t>
      </w:r>
      <w:proofErr w:type="gramEnd"/>
      <w:r w:rsidRPr="007118AB">
        <w:rPr>
          <w:sz w:val="24"/>
        </w:rPr>
        <w:t xml:space="preserve"> due to effluxion of time and prescription having set in.</w:t>
      </w:r>
    </w:p>
    <w:p w14:paraId="35AD7B29" w14:textId="77777777" w:rsidR="00DE0B84" w:rsidRPr="007118AB" w:rsidRDefault="00DE0B84" w:rsidP="00DE0B84">
      <w:pPr>
        <w:pStyle w:val="BodyText"/>
        <w:spacing w:line="276" w:lineRule="auto"/>
        <w:ind w:left="851"/>
        <w:rPr>
          <w:sz w:val="24"/>
        </w:rPr>
      </w:pPr>
    </w:p>
    <w:p w14:paraId="5B5AA4AA" w14:textId="77777777" w:rsidR="00DE0B84" w:rsidRPr="007118AB" w:rsidRDefault="00DE0B84" w:rsidP="00551F7B">
      <w:pPr>
        <w:pStyle w:val="BodyTex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firstLine="0"/>
        <w:rPr>
          <w:b/>
          <w:sz w:val="24"/>
        </w:rPr>
      </w:pPr>
      <w:r w:rsidRPr="007118AB">
        <w:rPr>
          <w:b/>
          <w:sz w:val="24"/>
        </w:rPr>
        <w:t>Recommendation Two: Delegation of Authority</w:t>
      </w:r>
    </w:p>
    <w:p w14:paraId="3F6C069E" w14:textId="77777777" w:rsidR="00DE0B84" w:rsidRPr="007118AB" w:rsidRDefault="00DE0B84" w:rsidP="00DE0B84">
      <w:pPr>
        <w:pStyle w:val="BodyText"/>
        <w:spacing w:line="276" w:lineRule="auto"/>
        <w:ind w:left="851"/>
        <w:rPr>
          <w:sz w:val="24"/>
        </w:rPr>
      </w:pPr>
    </w:p>
    <w:p w14:paraId="2E46B4B7" w14:textId="77777777" w:rsidR="00DE0B84" w:rsidRPr="007118AB" w:rsidRDefault="00DE0B84" w:rsidP="004D0EB6">
      <w:pPr>
        <w:pStyle w:val="BodyText"/>
        <w:spacing w:line="276" w:lineRule="auto"/>
        <w:ind w:left="1276"/>
        <w:rPr>
          <w:sz w:val="24"/>
        </w:rPr>
      </w:pPr>
      <w:r w:rsidRPr="007118AB">
        <w:rPr>
          <w:sz w:val="24"/>
        </w:rPr>
        <w:t>Extract from KPMG Report –</w:t>
      </w:r>
    </w:p>
    <w:p w14:paraId="698F97BC" w14:textId="77777777" w:rsidR="00DE0B84" w:rsidRPr="007118AB" w:rsidRDefault="00DE0B84" w:rsidP="00DE0B84">
      <w:pPr>
        <w:pStyle w:val="BodyText"/>
        <w:spacing w:line="276" w:lineRule="auto"/>
        <w:ind w:left="851"/>
        <w:rPr>
          <w:sz w:val="24"/>
        </w:rPr>
      </w:pPr>
    </w:p>
    <w:p w14:paraId="44BCFD89" w14:textId="77777777" w:rsidR="00DE0B84" w:rsidRPr="007118AB" w:rsidRDefault="00DE0B84" w:rsidP="004D0EB6">
      <w:pPr>
        <w:pStyle w:val="BodyText"/>
        <w:spacing w:line="276" w:lineRule="auto"/>
        <w:ind w:left="1276"/>
        <w:rPr>
          <w:i/>
          <w:sz w:val="24"/>
        </w:rPr>
      </w:pPr>
      <w:r w:rsidRPr="007118AB">
        <w:rPr>
          <w:i/>
          <w:sz w:val="24"/>
        </w:rPr>
        <w:t xml:space="preserve">“Although the Delegation of Authority provides for various levels of authority for Senior Managers, the COO and the CEO, it places no limit on the amounts that EXCO could approve. Good governance suggests that the mandate, responsibilities and levels of authority of the EXCO be </w:t>
      </w:r>
      <w:proofErr w:type="gramStart"/>
      <w:r w:rsidRPr="007118AB">
        <w:rPr>
          <w:i/>
          <w:sz w:val="24"/>
        </w:rPr>
        <w:t>well-defined</w:t>
      </w:r>
      <w:proofErr w:type="gramEnd"/>
      <w:r w:rsidRPr="007118AB">
        <w:rPr>
          <w:i/>
          <w:sz w:val="24"/>
        </w:rPr>
        <w:t>.</w:t>
      </w:r>
    </w:p>
    <w:p w14:paraId="21573C60" w14:textId="77777777" w:rsidR="00DE0B84" w:rsidRPr="007118AB" w:rsidRDefault="00DE0B84" w:rsidP="004D0EB6">
      <w:pPr>
        <w:pStyle w:val="BodyText"/>
        <w:spacing w:line="276" w:lineRule="auto"/>
        <w:ind w:left="1276"/>
        <w:rPr>
          <w:i/>
          <w:sz w:val="24"/>
        </w:rPr>
      </w:pPr>
    </w:p>
    <w:p w14:paraId="2AB3ECEB" w14:textId="77777777" w:rsidR="00DE0B84" w:rsidRPr="007118AB" w:rsidRDefault="00DE0B84" w:rsidP="004D0EB6">
      <w:pPr>
        <w:pStyle w:val="BodyText"/>
        <w:spacing w:line="276" w:lineRule="auto"/>
        <w:ind w:left="1276"/>
        <w:rPr>
          <w:i/>
          <w:sz w:val="24"/>
        </w:rPr>
      </w:pPr>
      <w:r w:rsidRPr="007118AB">
        <w:rPr>
          <w:i/>
          <w:sz w:val="24"/>
        </w:rPr>
        <w:t>We recommend that the HPCSA review and revise its Delegation of Authority to provide more specific levels of authority to EXCO and indicate instances that may require referral to Council for consideration and approval.</w:t>
      </w:r>
      <w:proofErr w:type="gramStart"/>
      <w:r w:rsidRPr="007118AB">
        <w:rPr>
          <w:i/>
          <w:sz w:val="24"/>
        </w:rPr>
        <w:t>”.</w:t>
      </w:r>
      <w:proofErr w:type="gramEnd"/>
    </w:p>
    <w:p w14:paraId="5394B622" w14:textId="77777777" w:rsidR="00DE0B84" w:rsidRPr="007118AB" w:rsidRDefault="00DE0B84" w:rsidP="00DE0B84">
      <w:pPr>
        <w:spacing w:line="276" w:lineRule="auto"/>
        <w:ind w:left="2269" w:hanging="284"/>
        <w:rPr>
          <w:sz w:val="24"/>
        </w:rPr>
      </w:pPr>
    </w:p>
    <w:p w14:paraId="0B1C0A20" w14:textId="77777777" w:rsidR="00DE0B84" w:rsidRPr="007118AB" w:rsidRDefault="00DE0B84" w:rsidP="004D0EB6">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rPr>
          <w:b/>
          <w:sz w:val="24"/>
        </w:rPr>
      </w:pPr>
      <w:r w:rsidRPr="007118AB">
        <w:rPr>
          <w:b/>
          <w:sz w:val="24"/>
        </w:rPr>
        <w:t>Action</w:t>
      </w:r>
      <w:r w:rsidR="005F43ED">
        <w:rPr>
          <w:b/>
          <w:sz w:val="24"/>
        </w:rPr>
        <w:t xml:space="preserve"> by previous Council</w:t>
      </w:r>
    </w:p>
    <w:p w14:paraId="4DBD23F3" w14:textId="77777777" w:rsidR="00DE0B84" w:rsidRPr="007118AB" w:rsidRDefault="00DE0B84" w:rsidP="00DE0B84">
      <w:pPr>
        <w:pStyle w:val="BodyText"/>
        <w:spacing w:line="276" w:lineRule="auto"/>
        <w:ind w:left="851"/>
        <w:rPr>
          <w:sz w:val="24"/>
        </w:rPr>
      </w:pPr>
    </w:p>
    <w:p w14:paraId="6C18EF33" w14:textId="77777777" w:rsidR="00DE0B84" w:rsidRDefault="004D0EB6" w:rsidP="004D0EB6">
      <w:pPr>
        <w:pStyle w:val="BodyText"/>
        <w:spacing w:after="240" w:line="276" w:lineRule="auto"/>
        <w:ind w:left="1985" w:hanging="709"/>
        <w:rPr>
          <w:sz w:val="24"/>
        </w:rPr>
      </w:pPr>
      <w:r>
        <w:rPr>
          <w:sz w:val="24"/>
        </w:rPr>
        <w:t>(</w:t>
      </w:r>
      <w:proofErr w:type="spellStart"/>
      <w:r>
        <w:rPr>
          <w:sz w:val="24"/>
        </w:rPr>
        <w:t>i</w:t>
      </w:r>
      <w:proofErr w:type="spellEnd"/>
      <w:r>
        <w:rPr>
          <w:sz w:val="24"/>
        </w:rPr>
        <w:t>)</w:t>
      </w:r>
      <w:r>
        <w:rPr>
          <w:sz w:val="24"/>
        </w:rPr>
        <w:tab/>
      </w:r>
      <w:r w:rsidR="00DE0B84" w:rsidRPr="007118AB">
        <w:rPr>
          <w:sz w:val="24"/>
        </w:rPr>
        <w:t xml:space="preserve">The recommendation </w:t>
      </w:r>
      <w:proofErr w:type="gramStart"/>
      <w:r w:rsidR="00DE0B84" w:rsidRPr="007118AB">
        <w:rPr>
          <w:sz w:val="24"/>
        </w:rPr>
        <w:t>was noted</w:t>
      </w:r>
      <w:proofErr w:type="gramEnd"/>
      <w:r w:rsidR="00DE0B84" w:rsidRPr="007118AB">
        <w:rPr>
          <w:sz w:val="24"/>
        </w:rPr>
        <w:t xml:space="preserve"> and Management and the Human Resources and Remuneration Committee of Council in 2013 commenced with the revision of the Delegation of Authority (DOA) document, </w:t>
      </w:r>
      <w:r>
        <w:rPr>
          <w:sz w:val="24"/>
        </w:rPr>
        <w:t>which was last reviewed in 2009;</w:t>
      </w:r>
    </w:p>
    <w:p w14:paraId="139D7423" w14:textId="77777777" w:rsidR="00DE0B84" w:rsidRDefault="004D0EB6" w:rsidP="004D0EB6">
      <w:pPr>
        <w:pStyle w:val="BodyText"/>
        <w:spacing w:after="240" w:line="276" w:lineRule="auto"/>
        <w:ind w:left="1985" w:hanging="709"/>
        <w:rPr>
          <w:sz w:val="24"/>
        </w:rPr>
      </w:pPr>
      <w:r>
        <w:rPr>
          <w:sz w:val="24"/>
        </w:rPr>
        <w:t>(ii)</w:t>
      </w:r>
      <w:r>
        <w:rPr>
          <w:sz w:val="24"/>
        </w:rPr>
        <w:tab/>
      </w:r>
      <w:r w:rsidR="00DE0B84" w:rsidRPr="007118AB">
        <w:rPr>
          <w:sz w:val="24"/>
        </w:rPr>
        <w:t>The DOA served at the Council workshop in March 2015 and again in June 2015. Council resolved that the DOA be revised to incorporate all of the Council’s inputs and same will be tabled to the newly appointed Human Resources and Remuneration Committee of Council for final review prior to submission to Council for approval;</w:t>
      </w:r>
    </w:p>
    <w:p w14:paraId="1A7D18E4" w14:textId="77777777" w:rsidR="00DE0B84" w:rsidRPr="007118AB" w:rsidRDefault="004D0EB6" w:rsidP="004D0EB6">
      <w:pPr>
        <w:pStyle w:val="BodyText"/>
        <w:spacing w:after="240" w:line="276" w:lineRule="auto"/>
        <w:ind w:left="1985" w:hanging="709"/>
        <w:rPr>
          <w:sz w:val="24"/>
        </w:rPr>
      </w:pPr>
      <w:r>
        <w:rPr>
          <w:sz w:val="24"/>
        </w:rPr>
        <w:t>(iii)</w:t>
      </w:r>
      <w:r>
        <w:rPr>
          <w:sz w:val="24"/>
        </w:rPr>
        <w:tab/>
      </w:r>
      <w:r w:rsidR="00DE0B84" w:rsidRPr="007118AB">
        <w:rPr>
          <w:sz w:val="24"/>
        </w:rPr>
        <w:t xml:space="preserve">The Finance and Investment Committee of Council also ensured that the newly approved Supply Chain Management policy clearly defines the limit delegation of Council and Management </w:t>
      </w:r>
    </w:p>
    <w:p w14:paraId="4C30A2D1" w14:textId="77777777" w:rsidR="00DE0B84" w:rsidRPr="007118AB" w:rsidRDefault="00DE0B84" w:rsidP="00DE0B84">
      <w:pPr>
        <w:pStyle w:val="ListParagraph"/>
        <w:spacing w:line="276" w:lineRule="auto"/>
        <w:ind w:left="1283"/>
        <w:rPr>
          <w:b/>
          <w:sz w:val="24"/>
        </w:rPr>
      </w:pPr>
    </w:p>
    <w:p w14:paraId="00E30A6A" w14:textId="77777777" w:rsidR="00DE0B84" w:rsidRPr="007118AB" w:rsidRDefault="00DE0B84" w:rsidP="004D0EB6">
      <w:pPr>
        <w:pStyle w:val="BodyText"/>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ind w:left="1418"/>
        <w:rPr>
          <w:b/>
          <w:sz w:val="24"/>
        </w:rPr>
      </w:pPr>
      <w:r w:rsidRPr="007118AB">
        <w:rPr>
          <w:b/>
          <w:sz w:val="24"/>
        </w:rPr>
        <w:t>Action</w:t>
      </w:r>
      <w:r w:rsidR="00865449">
        <w:rPr>
          <w:b/>
          <w:sz w:val="24"/>
        </w:rPr>
        <w:t xml:space="preserve"> by </w:t>
      </w:r>
      <w:r w:rsidR="005F43ED">
        <w:rPr>
          <w:b/>
          <w:sz w:val="24"/>
        </w:rPr>
        <w:t xml:space="preserve">current </w:t>
      </w:r>
      <w:r w:rsidR="00865449">
        <w:rPr>
          <w:b/>
          <w:sz w:val="24"/>
        </w:rPr>
        <w:t>Council</w:t>
      </w:r>
    </w:p>
    <w:p w14:paraId="211339DC" w14:textId="77777777" w:rsidR="00DE0B84" w:rsidRPr="007118AB" w:rsidRDefault="00DE0B84" w:rsidP="00DE0B84">
      <w:pPr>
        <w:spacing w:line="276" w:lineRule="auto"/>
        <w:ind w:left="851"/>
        <w:rPr>
          <w:sz w:val="24"/>
        </w:rPr>
      </w:pPr>
    </w:p>
    <w:p w14:paraId="799F6CFC" w14:textId="77777777" w:rsidR="00DE0B84" w:rsidRDefault="00DE0B84" w:rsidP="004D0EB6">
      <w:pPr>
        <w:spacing w:line="276" w:lineRule="auto"/>
        <w:ind w:left="1276"/>
        <w:jc w:val="both"/>
        <w:rPr>
          <w:sz w:val="24"/>
        </w:rPr>
      </w:pPr>
      <w:r w:rsidRPr="007118AB">
        <w:rPr>
          <w:sz w:val="24"/>
        </w:rPr>
        <w:t>Council noted the work undertaken by the previous Council and the resolved that the Delegations of Authority document would be considered and approved by the relevant Council structures</w:t>
      </w:r>
      <w:proofErr w:type="gramStart"/>
      <w:r w:rsidRPr="007118AB">
        <w:rPr>
          <w:sz w:val="24"/>
        </w:rPr>
        <w:t>;</w:t>
      </w:r>
      <w:proofErr w:type="gramEnd"/>
    </w:p>
    <w:p w14:paraId="7424F080" w14:textId="77777777" w:rsidR="004D0EB6" w:rsidRPr="007118AB" w:rsidRDefault="004D0EB6" w:rsidP="004D0EB6">
      <w:pPr>
        <w:spacing w:line="276" w:lineRule="auto"/>
        <w:ind w:left="1276"/>
        <w:jc w:val="both"/>
        <w:rPr>
          <w:sz w:val="24"/>
        </w:rPr>
      </w:pPr>
    </w:p>
    <w:p w14:paraId="482B44C7" w14:textId="77777777" w:rsidR="00DE0B84" w:rsidRPr="007118AB" w:rsidRDefault="00DE0B84" w:rsidP="004D0EB6">
      <w:pPr>
        <w:spacing w:line="276" w:lineRule="auto"/>
        <w:ind w:left="1276"/>
        <w:jc w:val="both"/>
        <w:rPr>
          <w:sz w:val="24"/>
        </w:rPr>
      </w:pPr>
      <w:r w:rsidRPr="007118AB">
        <w:rPr>
          <w:sz w:val="24"/>
        </w:rPr>
        <w:t xml:space="preserve">The Delegations of Authority was approved by Council at its </w:t>
      </w:r>
      <w:proofErr w:type="gramStart"/>
      <w:r w:rsidRPr="007118AB">
        <w:rPr>
          <w:sz w:val="24"/>
        </w:rPr>
        <w:t>3</w:t>
      </w:r>
      <w:r w:rsidRPr="007118AB">
        <w:rPr>
          <w:sz w:val="24"/>
          <w:vertAlign w:val="superscript"/>
        </w:rPr>
        <w:t>rd</w:t>
      </w:r>
      <w:proofErr w:type="gramEnd"/>
      <w:r w:rsidRPr="007118AB">
        <w:rPr>
          <w:sz w:val="24"/>
        </w:rPr>
        <w:t xml:space="preserve"> Ordinary Meeting held in September 2016 and is being implemented across all structures of Council.</w:t>
      </w:r>
    </w:p>
    <w:p w14:paraId="3EFA5DE2" w14:textId="77777777" w:rsidR="00DE0B84" w:rsidRDefault="00DE0B84" w:rsidP="00DE0B84">
      <w:pPr>
        <w:pStyle w:val="ListParagraph"/>
        <w:spacing w:line="276" w:lineRule="auto"/>
        <w:ind w:left="1571"/>
        <w:rPr>
          <w:sz w:val="24"/>
        </w:rPr>
      </w:pPr>
    </w:p>
    <w:p w14:paraId="25F08DE8" w14:textId="77777777" w:rsidR="004D0EB6" w:rsidRDefault="004D0EB6" w:rsidP="00DE0B84">
      <w:pPr>
        <w:pStyle w:val="ListParagraph"/>
        <w:spacing w:line="276" w:lineRule="auto"/>
        <w:ind w:left="1571"/>
        <w:rPr>
          <w:sz w:val="24"/>
        </w:rPr>
      </w:pPr>
    </w:p>
    <w:p w14:paraId="1880B8DA" w14:textId="77777777" w:rsidR="004D0EB6" w:rsidRDefault="004D0EB6" w:rsidP="00DE0B84">
      <w:pPr>
        <w:pStyle w:val="ListParagraph"/>
        <w:spacing w:line="276" w:lineRule="auto"/>
        <w:ind w:left="1571"/>
        <w:rPr>
          <w:sz w:val="24"/>
        </w:rPr>
      </w:pPr>
    </w:p>
    <w:p w14:paraId="1D40462F" w14:textId="77777777" w:rsidR="00DE0B84" w:rsidRPr="007118AB" w:rsidRDefault="00DE0B84" w:rsidP="00551F7B">
      <w:pPr>
        <w:pStyle w:val="BodyTex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firstLine="0"/>
        <w:rPr>
          <w:b/>
          <w:sz w:val="24"/>
        </w:rPr>
      </w:pPr>
      <w:r w:rsidRPr="007118AB">
        <w:rPr>
          <w:b/>
          <w:sz w:val="24"/>
        </w:rPr>
        <w:lastRenderedPageBreak/>
        <w:t>Recommendation Three: Possible Disciplinary Action</w:t>
      </w:r>
    </w:p>
    <w:p w14:paraId="45D13B63" w14:textId="77777777" w:rsidR="00DE0B84" w:rsidRPr="007118AB" w:rsidRDefault="00DE0B84" w:rsidP="00DE0B84">
      <w:pPr>
        <w:pStyle w:val="BodyText"/>
        <w:spacing w:line="276" w:lineRule="auto"/>
        <w:ind w:left="851"/>
        <w:rPr>
          <w:sz w:val="24"/>
        </w:rPr>
      </w:pPr>
    </w:p>
    <w:p w14:paraId="06E0154B" w14:textId="77777777" w:rsidR="00DE0B84" w:rsidRPr="007118AB" w:rsidRDefault="00DE0B84" w:rsidP="004D0EB6">
      <w:pPr>
        <w:pStyle w:val="BodyText"/>
        <w:spacing w:line="276" w:lineRule="auto"/>
        <w:ind w:left="1276"/>
        <w:rPr>
          <w:sz w:val="24"/>
        </w:rPr>
      </w:pPr>
      <w:r w:rsidRPr="007118AB">
        <w:rPr>
          <w:sz w:val="24"/>
        </w:rPr>
        <w:t>Extract from KPMG Report –</w:t>
      </w:r>
    </w:p>
    <w:p w14:paraId="5D9D86EE" w14:textId="77777777" w:rsidR="00DE0B84" w:rsidRPr="007118AB" w:rsidRDefault="00DE0B84" w:rsidP="004D0EB6">
      <w:pPr>
        <w:pStyle w:val="BodyText"/>
        <w:spacing w:line="276" w:lineRule="auto"/>
        <w:ind w:left="1276"/>
        <w:rPr>
          <w:sz w:val="24"/>
        </w:rPr>
      </w:pPr>
    </w:p>
    <w:p w14:paraId="7F4E4A80" w14:textId="77777777" w:rsidR="00DE0B84" w:rsidRPr="007118AB" w:rsidRDefault="00DE0B84" w:rsidP="004D0EB6">
      <w:pPr>
        <w:pStyle w:val="BodyText"/>
        <w:spacing w:line="276" w:lineRule="auto"/>
        <w:ind w:left="1276"/>
        <w:rPr>
          <w:i/>
          <w:sz w:val="24"/>
        </w:rPr>
      </w:pPr>
      <w:r w:rsidRPr="007118AB">
        <w:rPr>
          <w:i/>
          <w:sz w:val="24"/>
        </w:rPr>
        <w:t xml:space="preserve">“The appointment of at least two consulting firms, namely BPLC and </w:t>
      </w:r>
      <w:proofErr w:type="spellStart"/>
      <w:r w:rsidRPr="007118AB">
        <w:rPr>
          <w:i/>
          <w:sz w:val="24"/>
        </w:rPr>
        <w:t>Kakanyo</w:t>
      </w:r>
      <w:proofErr w:type="spellEnd"/>
      <w:r w:rsidRPr="007118AB">
        <w:rPr>
          <w:i/>
          <w:sz w:val="24"/>
        </w:rPr>
        <w:t xml:space="preserve">, were not done in accordance with the HPCSA’s procurement policies and procedures. Furthermore, certain expenses paid to service providers </w:t>
      </w:r>
      <w:proofErr w:type="gramStart"/>
      <w:r w:rsidRPr="007118AB">
        <w:rPr>
          <w:i/>
          <w:sz w:val="24"/>
        </w:rPr>
        <w:t>could potentially have been avoided</w:t>
      </w:r>
      <w:proofErr w:type="gramEnd"/>
      <w:r w:rsidRPr="007118AB">
        <w:rPr>
          <w:i/>
          <w:sz w:val="24"/>
        </w:rPr>
        <w:t xml:space="preserve">, had the Registrar acted in the best interest of the HPCSA by demanding that Waymark rectify the implementation problems at their own cost. In addition, a number of payments to </w:t>
      </w:r>
      <w:proofErr w:type="spellStart"/>
      <w:r w:rsidRPr="007118AB">
        <w:rPr>
          <w:i/>
          <w:sz w:val="24"/>
        </w:rPr>
        <w:t>Kakanyo</w:t>
      </w:r>
      <w:proofErr w:type="spellEnd"/>
      <w:r w:rsidRPr="007118AB">
        <w:rPr>
          <w:i/>
          <w:sz w:val="24"/>
        </w:rPr>
        <w:t xml:space="preserve"> </w:t>
      </w:r>
      <w:proofErr w:type="gramStart"/>
      <w:r w:rsidRPr="007118AB">
        <w:rPr>
          <w:i/>
          <w:sz w:val="24"/>
        </w:rPr>
        <w:t>were approved</w:t>
      </w:r>
      <w:proofErr w:type="gramEnd"/>
      <w:r w:rsidRPr="007118AB">
        <w:rPr>
          <w:i/>
          <w:sz w:val="24"/>
        </w:rPr>
        <w:t xml:space="preserve"> without the proposals having been appropriately approved in terms of the HPCSA’s procurement policies and procedures.</w:t>
      </w:r>
    </w:p>
    <w:p w14:paraId="798CFBDE" w14:textId="77777777" w:rsidR="00DE0B84" w:rsidRPr="007118AB" w:rsidRDefault="00DE0B84" w:rsidP="00DE0B84">
      <w:pPr>
        <w:pStyle w:val="BodyText"/>
        <w:spacing w:line="276" w:lineRule="auto"/>
        <w:ind w:left="851"/>
        <w:rPr>
          <w:i/>
          <w:sz w:val="24"/>
        </w:rPr>
      </w:pPr>
    </w:p>
    <w:p w14:paraId="30A77F17" w14:textId="77777777" w:rsidR="00DE0B84" w:rsidRPr="007118AB" w:rsidRDefault="00DE0B84" w:rsidP="004D0EB6">
      <w:pPr>
        <w:pStyle w:val="BodyText"/>
        <w:spacing w:line="276" w:lineRule="auto"/>
        <w:ind w:left="1276"/>
        <w:rPr>
          <w:i/>
          <w:sz w:val="24"/>
        </w:rPr>
      </w:pPr>
      <w:r w:rsidRPr="007118AB">
        <w:rPr>
          <w:i/>
          <w:sz w:val="24"/>
        </w:rPr>
        <w:t xml:space="preserve">We recommend that the HPCSA </w:t>
      </w:r>
      <w:proofErr w:type="gramStart"/>
      <w:r w:rsidRPr="007118AB">
        <w:rPr>
          <w:i/>
          <w:sz w:val="24"/>
        </w:rPr>
        <w:t>considers</w:t>
      </w:r>
      <w:proofErr w:type="gramEnd"/>
      <w:r w:rsidRPr="007118AB">
        <w:rPr>
          <w:i/>
          <w:sz w:val="24"/>
        </w:rPr>
        <w:t xml:space="preserve"> whether there are sufficient grounds to institute disciplinary action against the following officials for non-compliance with the HPCSA’s procurement policies and procedures and possible failure to act in the best interest of the HPCSA:</w:t>
      </w:r>
    </w:p>
    <w:p w14:paraId="24C3708C" w14:textId="77777777" w:rsidR="00DE0B84" w:rsidRPr="007118AB" w:rsidRDefault="00DE0B84" w:rsidP="00DE0B84">
      <w:pPr>
        <w:pStyle w:val="BodyText"/>
        <w:spacing w:line="276" w:lineRule="auto"/>
        <w:ind w:left="851"/>
        <w:rPr>
          <w:i/>
          <w:sz w:val="24"/>
        </w:rPr>
      </w:pPr>
    </w:p>
    <w:p w14:paraId="78C16081" w14:textId="77777777" w:rsidR="00DE0B84" w:rsidRPr="007118AB" w:rsidRDefault="00DE0B84" w:rsidP="004D0EB6">
      <w:pPr>
        <w:pStyle w:val="BodyText"/>
        <w:spacing w:line="276" w:lineRule="auto"/>
        <w:ind w:left="1985" w:hanging="709"/>
        <w:rPr>
          <w:i/>
          <w:sz w:val="24"/>
        </w:rPr>
      </w:pPr>
      <w:r w:rsidRPr="007118AB">
        <w:rPr>
          <w:i/>
          <w:sz w:val="24"/>
        </w:rPr>
        <w:t>•</w:t>
      </w:r>
      <w:r w:rsidRPr="007118AB">
        <w:rPr>
          <w:i/>
          <w:sz w:val="24"/>
        </w:rPr>
        <w:tab/>
        <w:t>Ms O’Reilly;</w:t>
      </w:r>
    </w:p>
    <w:p w14:paraId="2DA0372A" w14:textId="77777777" w:rsidR="00DE0B84" w:rsidRPr="007118AB" w:rsidRDefault="00DE0B84" w:rsidP="004D0EB6">
      <w:pPr>
        <w:pStyle w:val="BodyText"/>
        <w:spacing w:line="276" w:lineRule="auto"/>
        <w:ind w:left="1985" w:hanging="709"/>
        <w:rPr>
          <w:i/>
          <w:sz w:val="24"/>
        </w:rPr>
      </w:pPr>
      <w:r w:rsidRPr="007118AB">
        <w:rPr>
          <w:i/>
          <w:sz w:val="24"/>
        </w:rPr>
        <w:t>•</w:t>
      </w:r>
      <w:r w:rsidRPr="007118AB">
        <w:rPr>
          <w:i/>
          <w:sz w:val="24"/>
        </w:rPr>
        <w:tab/>
        <w:t xml:space="preserve">Adv </w:t>
      </w:r>
      <w:proofErr w:type="spellStart"/>
      <w:r w:rsidRPr="007118AB">
        <w:rPr>
          <w:i/>
          <w:sz w:val="24"/>
        </w:rPr>
        <w:t>Boikanyo</w:t>
      </w:r>
      <w:proofErr w:type="spellEnd"/>
      <w:r w:rsidRPr="007118AB">
        <w:rPr>
          <w:i/>
          <w:sz w:val="24"/>
        </w:rPr>
        <w:t>; and</w:t>
      </w:r>
    </w:p>
    <w:p w14:paraId="76711B4C" w14:textId="77777777" w:rsidR="00DE0B84" w:rsidRPr="007118AB" w:rsidRDefault="00DE0B84" w:rsidP="004D0EB6">
      <w:pPr>
        <w:pStyle w:val="BodyText"/>
        <w:spacing w:line="276" w:lineRule="auto"/>
        <w:ind w:left="1985" w:hanging="709"/>
        <w:rPr>
          <w:i/>
          <w:sz w:val="24"/>
        </w:rPr>
      </w:pPr>
      <w:r w:rsidRPr="007118AB">
        <w:rPr>
          <w:i/>
          <w:sz w:val="24"/>
        </w:rPr>
        <w:t>•</w:t>
      </w:r>
      <w:r w:rsidRPr="007118AB">
        <w:rPr>
          <w:i/>
          <w:sz w:val="24"/>
        </w:rPr>
        <w:tab/>
        <w:t xml:space="preserve">Mr </w:t>
      </w:r>
      <w:proofErr w:type="spellStart"/>
      <w:r w:rsidRPr="007118AB">
        <w:rPr>
          <w:i/>
          <w:sz w:val="24"/>
        </w:rPr>
        <w:t>Mphahlele</w:t>
      </w:r>
      <w:proofErr w:type="spellEnd"/>
      <w:r w:rsidRPr="007118AB">
        <w:rPr>
          <w:i/>
          <w:sz w:val="24"/>
        </w:rPr>
        <w:t>.</w:t>
      </w:r>
    </w:p>
    <w:p w14:paraId="6C313907" w14:textId="77777777" w:rsidR="00DE0B84" w:rsidRPr="007118AB" w:rsidRDefault="00DE0B84" w:rsidP="00DE0B84">
      <w:pPr>
        <w:pStyle w:val="BodyText"/>
        <w:spacing w:line="276" w:lineRule="auto"/>
        <w:ind w:left="851"/>
        <w:rPr>
          <w:i/>
          <w:sz w:val="24"/>
        </w:rPr>
      </w:pPr>
    </w:p>
    <w:p w14:paraId="3765BCA7" w14:textId="77777777" w:rsidR="00DE0B84" w:rsidRPr="007118AB" w:rsidRDefault="00DE0B84" w:rsidP="004D0EB6">
      <w:pPr>
        <w:pStyle w:val="BodyText"/>
        <w:spacing w:line="276" w:lineRule="auto"/>
        <w:ind w:left="1276"/>
        <w:rPr>
          <w:i/>
          <w:sz w:val="24"/>
        </w:rPr>
      </w:pPr>
      <w:r w:rsidRPr="007118AB">
        <w:rPr>
          <w:i/>
          <w:sz w:val="24"/>
        </w:rPr>
        <w:t>More in-depth investigations may be required into the matters referred to above in order to prepare specific reports and supporting evidence that could be used during a disciplinary hearing, if necessary.</w:t>
      </w:r>
      <w:proofErr w:type="gramStart"/>
      <w:r w:rsidRPr="007118AB">
        <w:rPr>
          <w:i/>
          <w:sz w:val="24"/>
        </w:rPr>
        <w:t>”.</w:t>
      </w:r>
      <w:proofErr w:type="gramEnd"/>
    </w:p>
    <w:p w14:paraId="550316ED" w14:textId="77777777" w:rsidR="00DE0B84" w:rsidRPr="007118AB" w:rsidRDefault="00DE0B84" w:rsidP="00DE0B84">
      <w:pPr>
        <w:pStyle w:val="BodyText"/>
        <w:spacing w:line="276" w:lineRule="auto"/>
        <w:ind w:left="851"/>
        <w:rPr>
          <w:sz w:val="24"/>
        </w:rPr>
      </w:pPr>
    </w:p>
    <w:p w14:paraId="72936E24" w14:textId="77777777" w:rsidR="00DE0B84" w:rsidRPr="007118AB" w:rsidRDefault="00DE0B84" w:rsidP="00CC28C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rPr>
          <w:b/>
          <w:sz w:val="24"/>
        </w:rPr>
      </w:pPr>
      <w:r w:rsidRPr="007118AB">
        <w:rPr>
          <w:b/>
          <w:sz w:val="24"/>
        </w:rPr>
        <w:t>Action</w:t>
      </w:r>
      <w:r w:rsidR="00865449">
        <w:rPr>
          <w:b/>
          <w:sz w:val="24"/>
        </w:rPr>
        <w:t xml:space="preserve"> by previous Council</w:t>
      </w:r>
      <w:r w:rsidRPr="007118AB">
        <w:rPr>
          <w:b/>
          <w:sz w:val="24"/>
        </w:rPr>
        <w:t>: MMC O’ Reilly</w:t>
      </w:r>
    </w:p>
    <w:p w14:paraId="1CF55870" w14:textId="77777777" w:rsidR="00DE0B84" w:rsidRPr="007118AB" w:rsidRDefault="00DE0B84" w:rsidP="00DE0B84">
      <w:pPr>
        <w:pStyle w:val="BodyText"/>
        <w:spacing w:line="276" w:lineRule="auto"/>
        <w:ind w:left="1211"/>
        <w:rPr>
          <w:sz w:val="24"/>
        </w:rPr>
      </w:pPr>
    </w:p>
    <w:p w14:paraId="0B4E6FD2" w14:textId="77777777" w:rsidR="00DE0B84" w:rsidRDefault="00CC28CD" w:rsidP="00CC28CD">
      <w:pPr>
        <w:pStyle w:val="BodyText"/>
        <w:spacing w:line="276" w:lineRule="auto"/>
        <w:ind w:left="1985" w:hanging="774"/>
        <w:rPr>
          <w:sz w:val="24"/>
        </w:rPr>
      </w:pPr>
      <w:proofErr w:type="gramStart"/>
      <w:r>
        <w:rPr>
          <w:sz w:val="24"/>
        </w:rPr>
        <w:t>(</w:t>
      </w:r>
      <w:proofErr w:type="spellStart"/>
      <w:r>
        <w:rPr>
          <w:sz w:val="24"/>
        </w:rPr>
        <w:t>i</w:t>
      </w:r>
      <w:proofErr w:type="spellEnd"/>
      <w:r>
        <w:rPr>
          <w:sz w:val="24"/>
        </w:rPr>
        <w:t>)</w:t>
      </w:r>
      <w:r>
        <w:rPr>
          <w:sz w:val="24"/>
        </w:rPr>
        <w:tab/>
      </w:r>
      <w:r w:rsidR="00DE0B84" w:rsidRPr="007118AB">
        <w:rPr>
          <w:sz w:val="24"/>
        </w:rPr>
        <w:t>The matter was considered by Council</w:t>
      </w:r>
      <w:proofErr w:type="gramEnd"/>
      <w:r w:rsidR="00DE0B84" w:rsidRPr="007118AB">
        <w:rPr>
          <w:sz w:val="24"/>
        </w:rPr>
        <w:t xml:space="preserve"> in December 2011 and Council resolved to institute disciplinary action against Ms O’Reilly. The matter </w:t>
      </w:r>
      <w:proofErr w:type="gramStart"/>
      <w:r w:rsidR="00DE0B84" w:rsidRPr="007118AB">
        <w:rPr>
          <w:sz w:val="24"/>
        </w:rPr>
        <w:t>was further handled</w:t>
      </w:r>
      <w:proofErr w:type="gramEnd"/>
      <w:r w:rsidR="00DE0B84" w:rsidRPr="007118AB">
        <w:rPr>
          <w:sz w:val="24"/>
        </w:rPr>
        <w:t xml:space="preserve"> through the office of the President and Legal Counsel: </w:t>
      </w:r>
      <w:proofErr w:type="spellStart"/>
      <w:r w:rsidR="00DE0B84" w:rsidRPr="007118AB">
        <w:rPr>
          <w:sz w:val="24"/>
        </w:rPr>
        <w:t>Mponyana</w:t>
      </w:r>
      <w:proofErr w:type="spellEnd"/>
      <w:r w:rsidR="00DE0B84" w:rsidRPr="007118AB">
        <w:rPr>
          <w:sz w:val="24"/>
        </w:rPr>
        <w:t xml:space="preserve"> Ledwaba Inc. </w:t>
      </w:r>
    </w:p>
    <w:p w14:paraId="5B24886E" w14:textId="77777777" w:rsidR="00CC28CD" w:rsidRDefault="00CC28CD" w:rsidP="00CC28CD">
      <w:pPr>
        <w:pStyle w:val="BodyText"/>
        <w:spacing w:line="276" w:lineRule="auto"/>
        <w:ind w:left="1985" w:hanging="774"/>
        <w:rPr>
          <w:sz w:val="24"/>
        </w:rPr>
      </w:pPr>
    </w:p>
    <w:p w14:paraId="2392C632" w14:textId="77777777" w:rsidR="00DE0B84" w:rsidRPr="007118AB" w:rsidRDefault="00CC28CD" w:rsidP="00CC28CD">
      <w:pPr>
        <w:pStyle w:val="BodyText"/>
        <w:spacing w:line="276" w:lineRule="auto"/>
        <w:ind w:left="1985" w:hanging="774"/>
        <w:rPr>
          <w:sz w:val="24"/>
        </w:rPr>
      </w:pPr>
      <w:r>
        <w:rPr>
          <w:sz w:val="24"/>
        </w:rPr>
        <w:t>(ii)</w:t>
      </w:r>
      <w:r>
        <w:rPr>
          <w:sz w:val="24"/>
        </w:rPr>
        <w:tab/>
      </w:r>
      <w:r w:rsidR="00DE0B84" w:rsidRPr="007118AB">
        <w:rPr>
          <w:sz w:val="24"/>
        </w:rPr>
        <w:t xml:space="preserve">The matter </w:t>
      </w:r>
      <w:proofErr w:type="gramStart"/>
      <w:r w:rsidR="00DE0B84" w:rsidRPr="007118AB">
        <w:rPr>
          <w:sz w:val="24"/>
        </w:rPr>
        <w:t>was closed</w:t>
      </w:r>
      <w:proofErr w:type="gramEnd"/>
      <w:r w:rsidR="00DE0B84" w:rsidRPr="007118AB">
        <w:rPr>
          <w:sz w:val="24"/>
        </w:rPr>
        <w:t xml:space="preserve">. </w:t>
      </w:r>
    </w:p>
    <w:p w14:paraId="50CA24A9" w14:textId="77777777" w:rsidR="00DE0B84" w:rsidRPr="007118AB" w:rsidRDefault="00DE0B84" w:rsidP="00DE0B84">
      <w:pPr>
        <w:pStyle w:val="BodyText"/>
        <w:spacing w:line="276" w:lineRule="auto"/>
        <w:ind w:left="851"/>
        <w:rPr>
          <w:sz w:val="24"/>
        </w:rPr>
      </w:pPr>
    </w:p>
    <w:p w14:paraId="75ED3F95" w14:textId="77777777" w:rsidR="00DE0B84" w:rsidRPr="007118AB" w:rsidRDefault="00DE0B84" w:rsidP="00DE0B84">
      <w:pPr>
        <w:pStyle w:val="BodyText"/>
        <w:spacing w:line="276" w:lineRule="auto"/>
        <w:ind w:left="851"/>
        <w:rPr>
          <w:sz w:val="24"/>
        </w:rPr>
      </w:pPr>
    </w:p>
    <w:p w14:paraId="29AD2F51" w14:textId="77777777" w:rsidR="00DE0B84" w:rsidRPr="007118AB" w:rsidRDefault="00DE0B84" w:rsidP="00CC28C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rPr>
          <w:b/>
          <w:sz w:val="24"/>
        </w:rPr>
      </w:pPr>
      <w:r w:rsidRPr="007118AB">
        <w:rPr>
          <w:b/>
          <w:sz w:val="24"/>
        </w:rPr>
        <w:t>Action</w:t>
      </w:r>
      <w:r w:rsidR="00865449">
        <w:rPr>
          <w:b/>
          <w:sz w:val="24"/>
        </w:rPr>
        <w:t xml:space="preserve"> by previous Council</w:t>
      </w:r>
      <w:r w:rsidRPr="007118AB">
        <w:rPr>
          <w:b/>
          <w:sz w:val="24"/>
        </w:rPr>
        <w:t xml:space="preserve">: Adv </w:t>
      </w:r>
      <w:proofErr w:type="spellStart"/>
      <w:r w:rsidRPr="007118AB">
        <w:rPr>
          <w:b/>
          <w:sz w:val="24"/>
        </w:rPr>
        <w:t>Boikanyo</w:t>
      </w:r>
      <w:proofErr w:type="spellEnd"/>
      <w:r w:rsidR="00CC28CD">
        <w:rPr>
          <w:b/>
          <w:sz w:val="24"/>
        </w:rPr>
        <w:t xml:space="preserve"> </w:t>
      </w:r>
      <w:proofErr w:type="gramStart"/>
      <w:r w:rsidRPr="007118AB">
        <w:rPr>
          <w:b/>
          <w:sz w:val="24"/>
        </w:rPr>
        <w:t>&amp;  Mr</w:t>
      </w:r>
      <w:proofErr w:type="gramEnd"/>
      <w:r w:rsidRPr="007118AB">
        <w:rPr>
          <w:b/>
          <w:sz w:val="24"/>
        </w:rPr>
        <w:t xml:space="preserve"> S </w:t>
      </w:r>
      <w:proofErr w:type="spellStart"/>
      <w:r w:rsidRPr="007118AB">
        <w:rPr>
          <w:b/>
          <w:sz w:val="24"/>
        </w:rPr>
        <w:t>Mphahlele</w:t>
      </w:r>
      <w:proofErr w:type="spellEnd"/>
    </w:p>
    <w:p w14:paraId="73FCF763" w14:textId="77777777" w:rsidR="00DE0B84" w:rsidRPr="007118AB" w:rsidRDefault="00DE0B84" w:rsidP="00DE0B84">
      <w:pPr>
        <w:pStyle w:val="BodyText"/>
        <w:spacing w:line="276" w:lineRule="auto"/>
        <w:ind w:left="851"/>
        <w:rPr>
          <w:sz w:val="24"/>
        </w:rPr>
      </w:pPr>
    </w:p>
    <w:p w14:paraId="4AAB7D50" w14:textId="77777777" w:rsidR="00DE0B84" w:rsidRDefault="00CC28CD" w:rsidP="00CC28CD">
      <w:pPr>
        <w:pStyle w:val="BodyText"/>
        <w:spacing w:after="240" w:line="276" w:lineRule="auto"/>
        <w:ind w:left="1985" w:hanging="709"/>
        <w:rPr>
          <w:sz w:val="24"/>
        </w:rPr>
      </w:pPr>
      <w:proofErr w:type="gramStart"/>
      <w:r>
        <w:rPr>
          <w:sz w:val="24"/>
        </w:rPr>
        <w:t>(</w:t>
      </w:r>
      <w:proofErr w:type="spellStart"/>
      <w:r>
        <w:rPr>
          <w:sz w:val="24"/>
        </w:rPr>
        <w:t>i</w:t>
      </w:r>
      <w:proofErr w:type="spellEnd"/>
      <w:r>
        <w:rPr>
          <w:sz w:val="24"/>
        </w:rPr>
        <w:t>)</w:t>
      </w:r>
      <w:r>
        <w:rPr>
          <w:sz w:val="24"/>
        </w:rPr>
        <w:tab/>
      </w:r>
      <w:r w:rsidR="00DE0B84" w:rsidRPr="007118AB">
        <w:rPr>
          <w:sz w:val="24"/>
        </w:rPr>
        <w:t>The matter was considered by Council</w:t>
      </w:r>
      <w:proofErr w:type="gramEnd"/>
      <w:r w:rsidR="00DE0B84" w:rsidRPr="007118AB">
        <w:rPr>
          <w:sz w:val="24"/>
        </w:rPr>
        <w:t xml:space="preserve"> in December 2011 and no action was taken.</w:t>
      </w:r>
    </w:p>
    <w:p w14:paraId="2FF332B7" w14:textId="77777777" w:rsidR="00DE0B84" w:rsidRDefault="00CC28CD" w:rsidP="00CC28CD">
      <w:pPr>
        <w:pStyle w:val="BodyText"/>
        <w:spacing w:after="240" w:line="276" w:lineRule="auto"/>
        <w:ind w:left="1985" w:hanging="709"/>
        <w:rPr>
          <w:sz w:val="24"/>
        </w:rPr>
      </w:pPr>
      <w:r>
        <w:rPr>
          <w:sz w:val="24"/>
        </w:rPr>
        <w:t>(ii)</w:t>
      </w:r>
      <w:r>
        <w:rPr>
          <w:sz w:val="24"/>
        </w:rPr>
        <w:tab/>
      </w:r>
      <w:r w:rsidR="00DE0B84" w:rsidRPr="007118AB">
        <w:rPr>
          <w:sz w:val="24"/>
        </w:rPr>
        <w:t xml:space="preserve">The Matter was reconsidered by Council and in February 2013, the Registrar/ CEO, Dr </w:t>
      </w:r>
      <w:proofErr w:type="spellStart"/>
      <w:r w:rsidR="00DE0B84" w:rsidRPr="007118AB">
        <w:rPr>
          <w:sz w:val="24"/>
        </w:rPr>
        <w:t>Mjamba-Matshoba</w:t>
      </w:r>
      <w:proofErr w:type="spellEnd"/>
      <w:r w:rsidR="00DE0B84" w:rsidRPr="007118AB">
        <w:rPr>
          <w:sz w:val="24"/>
        </w:rPr>
        <w:t xml:space="preserve">, addressed correspondence to Adv </w:t>
      </w:r>
      <w:proofErr w:type="spellStart"/>
      <w:r w:rsidR="00DE0B84" w:rsidRPr="007118AB">
        <w:rPr>
          <w:sz w:val="24"/>
        </w:rPr>
        <w:t>Boikanyo</w:t>
      </w:r>
      <w:proofErr w:type="spellEnd"/>
      <w:r w:rsidR="00DE0B84" w:rsidRPr="007118AB">
        <w:rPr>
          <w:sz w:val="24"/>
        </w:rPr>
        <w:t xml:space="preserve"> and Mr </w:t>
      </w:r>
      <w:proofErr w:type="spellStart"/>
      <w:r w:rsidR="00DE0B84" w:rsidRPr="007118AB">
        <w:rPr>
          <w:sz w:val="24"/>
        </w:rPr>
        <w:t>Mphahlele</w:t>
      </w:r>
      <w:proofErr w:type="spellEnd"/>
      <w:r w:rsidR="00DE0B84" w:rsidRPr="007118AB">
        <w:rPr>
          <w:sz w:val="24"/>
        </w:rPr>
        <w:t xml:space="preserve"> requesting them to provide explanations for the alleged non-compliance.</w:t>
      </w:r>
    </w:p>
    <w:p w14:paraId="1FED695A" w14:textId="77777777" w:rsidR="00DE0B84" w:rsidRPr="007118AB" w:rsidRDefault="00CC28CD" w:rsidP="00CC28CD">
      <w:pPr>
        <w:pStyle w:val="BodyText"/>
        <w:spacing w:after="240" w:line="276" w:lineRule="auto"/>
        <w:ind w:left="1985" w:hanging="709"/>
        <w:rPr>
          <w:sz w:val="24"/>
        </w:rPr>
      </w:pPr>
      <w:r>
        <w:rPr>
          <w:sz w:val="24"/>
        </w:rPr>
        <w:lastRenderedPageBreak/>
        <w:t>(iii)</w:t>
      </w:r>
      <w:r>
        <w:rPr>
          <w:sz w:val="24"/>
        </w:rPr>
        <w:tab/>
      </w:r>
      <w:r w:rsidR="00DE0B84" w:rsidRPr="007118AB">
        <w:rPr>
          <w:sz w:val="24"/>
        </w:rPr>
        <w:t xml:space="preserve">Both parties provided a response to the Registrar/CEO and the matter </w:t>
      </w:r>
      <w:proofErr w:type="gramStart"/>
      <w:r w:rsidR="00DE0B84" w:rsidRPr="007118AB">
        <w:rPr>
          <w:sz w:val="24"/>
        </w:rPr>
        <w:t>was closed</w:t>
      </w:r>
      <w:proofErr w:type="gramEnd"/>
      <w:r w:rsidR="00DE0B84" w:rsidRPr="007118AB">
        <w:rPr>
          <w:sz w:val="24"/>
        </w:rPr>
        <w:t xml:space="preserve"> in line with the Disciplinary Code of Council.</w:t>
      </w:r>
    </w:p>
    <w:p w14:paraId="71EF777C" w14:textId="77777777" w:rsidR="00DE0B84" w:rsidRPr="007118AB" w:rsidRDefault="00DE0B84" w:rsidP="00CC28CD">
      <w:pPr>
        <w:pStyle w:val="BodyText"/>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ind w:left="1418"/>
        <w:rPr>
          <w:b/>
          <w:sz w:val="24"/>
        </w:rPr>
      </w:pPr>
      <w:r w:rsidRPr="007118AB">
        <w:rPr>
          <w:b/>
          <w:sz w:val="24"/>
        </w:rPr>
        <w:t>Action</w:t>
      </w:r>
      <w:r w:rsidR="00865449">
        <w:rPr>
          <w:b/>
          <w:sz w:val="24"/>
        </w:rPr>
        <w:t xml:space="preserve"> by Current Council</w:t>
      </w:r>
    </w:p>
    <w:p w14:paraId="0AC7CF6E" w14:textId="77777777" w:rsidR="00DE0B84" w:rsidRPr="007118AB" w:rsidRDefault="00DE0B84" w:rsidP="00DE0B84">
      <w:pPr>
        <w:spacing w:line="276" w:lineRule="auto"/>
        <w:ind w:left="851"/>
        <w:rPr>
          <w:sz w:val="24"/>
        </w:rPr>
      </w:pPr>
    </w:p>
    <w:p w14:paraId="2E6D5A59" w14:textId="77777777" w:rsidR="00DE0B84" w:rsidRPr="007118AB" w:rsidRDefault="00DE0B84" w:rsidP="00CC28CD">
      <w:pPr>
        <w:spacing w:line="276" w:lineRule="auto"/>
        <w:ind w:left="1276"/>
        <w:jc w:val="both"/>
        <w:rPr>
          <w:sz w:val="24"/>
        </w:rPr>
      </w:pPr>
      <w:r w:rsidRPr="007118AB">
        <w:rPr>
          <w:sz w:val="24"/>
        </w:rPr>
        <w:t xml:space="preserve">In reference to Adv T </w:t>
      </w:r>
      <w:proofErr w:type="spellStart"/>
      <w:r w:rsidRPr="007118AB">
        <w:rPr>
          <w:sz w:val="24"/>
        </w:rPr>
        <w:t>Boikanyo</w:t>
      </w:r>
      <w:proofErr w:type="spellEnd"/>
      <w:r w:rsidRPr="007118AB">
        <w:rPr>
          <w:sz w:val="24"/>
        </w:rPr>
        <w:t xml:space="preserve"> and Mr S </w:t>
      </w:r>
      <w:proofErr w:type="spellStart"/>
      <w:r w:rsidRPr="007118AB">
        <w:rPr>
          <w:sz w:val="24"/>
        </w:rPr>
        <w:t>Mphahlele</w:t>
      </w:r>
      <w:proofErr w:type="spellEnd"/>
      <w:r w:rsidRPr="007118AB">
        <w:rPr>
          <w:sz w:val="24"/>
        </w:rPr>
        <w:t>, Council resolved that the matter be closed as the explanations provided by the employees were considered and accepted therefore re-opening the matter would be tantamount to double jeopardy and contrary to law.</w:t>
      </w:r>
    </w:p>
    <w:p w14:paraId="342FC254" w14:textId="77777777" w:rsidR="00DE0B84" w:rsidRPr="007118AB" w:rsidRDefault="00DE0B84" w:rsidP="00DE0B84">
      <w:pPr>
        <w:pStyle w:val="ListParagraph"/>
        <w:spacing w:line="276" w:lineRule="auto"/>
        <w:ind w:left="1571"/>
        <w:rPr>
          <w:sz w:val="24"/>
        </w:rPr>
      </w:pPr>
    </w:p>
    <w:p w14:paraId="273EDA9F" w14:textId="77777777" w:rsidR="00DE0B84" w:rsidRPr="007118AB" w:rsidRDefault="00DE0B84" w:rsidP="00551F7B">
      <w:pPr>
        <w:pStyle w:val="BodyText"/>
        <w:numPr>
          <w:ilvl w:val="0"/>
          <w:numId w:val="1"/>
        </w:num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701" w:hanging="283"/>
        <w:rPr>
          <w:b/>
          <w:sz w:val="24"/>
        </w:rPr>
      </w:pPr>
      <w:r w:rsidRPr="007118AB">
        <w:rPr>
          <w:b/>
          <w:sz w:val="24"/>
        </w:rPr>
        <w:t>Recommendation Four: Compliance with the HPCSA’s policies and procedures</w:t>
      </w:r>
    </w:p>
    <w:p w14:paraId="3155D1E4" w14:textId="77777777" w:rsidR="00DE0B84" w:rsidRPr="007118AB" w:rsidRDefault="00DE0B84" w:rsidP="00DE0B84">
      <w:pPr>
        <w:pStyle w:val="BodyText"/>
        <w:spacing w:line="276" w:lineRule="auto"/>
        <w:ind w:left="851"/>
        <w:rPr>
          <w:sz w:val="24"/>
        </w:rPr>
      </w:pPr>
    </w:p>
    <w:p w14:paraId="4461E049" w14:textId="77777777" w:rsidR="00DE0B84" w:rsidRPr="007118AB" w:rsidRDefault="00DE0B84" w:rsidP="00CC28CD">
      <w:pPr>
        <w:pStyle w:val="BodyText"/>
        <w:spacing w:line="276" w:lineRule="auto"/>
        <w:ind w:left="1276"/>
        <w:rPr>
          <w:sz w:val="24"/>
        </w:rPr>
      </w:pPr>
      <w:r w:rsidRPr="007118AB">
        <w:rPr>
          <w:sz w:val="24"/>
        </w:rPr>
        <w:t>Extract from KPMG Report –</w:t>
      </w:r>
    </w:p>
    <w:p w14:paraId="79E61CCB" w14:textId="77777777" w:rsidR="00DE0B84" w:rsidRPr="007118AB" w:rsidRDefault="00DE0B84" w:rsidP="00DE0B84">
      <w:pPr>
        <w:pStyle w:val="BodyText"/>
        <w:spacing w:line="276" w:lineRule="auto"/>
        <w:ind w:left="851"/>
        <w:rPr>
          <w:sz w:val="24"/>
        </w:rPr>
      </w:pPr>
    </w:p>
    <w:p w14:paraId="0BEB9481" w14:textId="77777777" w:rsidR="00DE0B84" w:rsidRPr="007118AB" w:rsidRDefault="00DE0B84" w:rsidP="00CC28CD">
      <w:pPr>
        <w:pStyle w:val="BodyText"/>
        <w:spacing w:line="276" w:lineRule="auto"/>
        <w:ind w:left="1276"/>
        <w:rPr>
          <w:i/>
          <w:sz w:val="24"/>
        </w:rPr>
      </w:pPr>
      <w:r w:rsidRPr="007118AB">
        <w:rPr>
          <w:i/>
          <w:sz w:val="24"/>
        </w:rPr>
        <w:t xml:space="preserve"> “We recommend that the HPCSA communicates its policies and procedures to its staff on a regular basis, </w:t>
      </w:r>
      <w:proofErr w:type="spellStart"/>
      <w:r w:rsidRPr="007118AB">
        <w:rPr>
          <w:i/>
          <w:sz w:val="24"/>
        </w:rPr>
        <w:t>through</w:t>
      </w:r>
      <w:proofErr w:type="spellEnd"/>
      <w:r w:rsidRPr="007118AB">
        <w:rPr>
          <w:i/>
          <w:sz w:val="24"/>
        </w:rPr>
        <w:t>, for example, annual declarations in which the staff acknowledge that they are familiar with the contents of such policies and procedures. This will ensure compliance therewith to avoid the recurrence of, inter alia, the following:</w:t>
      </w:r>
    </w:p>
    <w:p w14:paraId="67ACDCF9" w14:textId="77777777" w:rsidR="00DE0B84" w:rsidRPr="007118AB" w:rsidRDefault="00DE0B84" w:rsidP="00CC28CD">
      <w:pPr>
        <w:pStyle w:val="BodyText"/>
        <w:spacing w:line="276" w:lineRule="auto"/>
        <w:ind w:left="1276"/>
        <w:rPr>
          <w:i/>
          <w:sz w:val="24"/>
        </w:rPr>
      </w:pPr>
    </w:p>
    <w:p w14:paraId="6DA61A91" w14:textId="77777777" w:rsidR="00DE0B84" w:rsidRPr="007118AB" w:rsidRDefault="00DE0B84" w:rsidP="00551F7B">
      <w:pPr>
        <w:pStyle w:val="BodyText"/>
        <w:numPr>
          <w:ilvl w:val="0"/>
          <w:numId w:val="2"/>
        </w:numPr>
        <w:spacing w:after="240" w:line="276" w:lineRule="auto"/>
        <w:ind w:left="1985" w:hanging="709"/>
        <w:rPr>
          <w:i/>
          <w:sz w:val="24"/>
        </w:rPr>
      </w:pPr>
      <w:r w:rsidRPr="007118AB">
        <w:rPr>
          <w:i/>
          <w:sz w:val="24"/>
        </w:rPr>
        <w:t>That  a  contract,  used  by  another  government  department,  was  used  as  the  basis  for concluding a contract with a service provider; and</w:t>
      </w:r>
    </w:p>
    <w:p w14:paraId="18560BEA" w14:textId="77777777" w:rsidR="00DE0B84" w:rsidRPr="007118AB" w:rsidRDefault="00DE0B84" w:rsidP="00551F7B">
      <w:pPr>
        <w:pStyle w:val="BodyText"/>
        <w:numPr>
          <w:ilvl w:val="0"/>
          <w:numId w:val="2"/>
        </w:numPr>
        <w:spacing w:after="240" w:line="276" w:lineRule="auto"/>
        <w:ind w:left="1985" w:hanging="709"/>
        <w:rPr>
          <w:i/>
          <w:sz w:val="24"/>
        </w:rPr>
      </w:pPr>
      <w:r w:rsidRPr="007118AB">
        <w:rPr>
          <w:i/>
          <w:sz w:val="24"/>
        </w:rPr>
        <w:t>That the contract was signed without it having been reviewed by the HPCSA’s Legal Department.</w:t>
      </w:r>
      <w:proofErr w:type="gramStart"/>
      <w:r w:rsidRPr="007118AB">
        <w:rPr>
          <w:i/>
          <w:sz w:val="24"/>
        </w:rPr>
        <w:t>”.</w:t>
      </w:r>
      <w:proofErr w:type="gramEnd"/>
    </w:p>
    <w:p w14:paraId="3813BE64" w14:textId="77777777" w:rsidR="00DE0B84" w:rsidRPr="007118AB" w:rsidRDefault="00DE0B84" w:rsidP="00CC28C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left="1418"/>
        <w:rPr>
          <w:b/>
          <w:sz w:val="24"/>
        </w:rPr>
      </w:pPr>
      <w:r w:rsidRPr="007118AB">
        <w:rPr>
          <w:b/>
          <w:sz w:val="24"/>
        </w:rPr>
        <w:t>Action</w:t>
      </w:r>
      <w:r w:rsidR="00865449">
        <w:rPr>
          <w:b/>
          <w:sz w:val="24"/>
        </w:rPr>
        <w:t xml:space="preserve"> by previous Council</w:t>
      </w:r>
    </w:p>
    <w:p w14:paraId="687BC683" w14:textId="77777777" w:rsidR="00DE0B84" w:rsidRPr="007118AB" w:rsidRDefault="00DE0B84" w:rsidP="00DE0B84">
      <w:pPr>
        <w:pStyle w:val="BodyText"/>
        <w:spacing w:line="276" w:lineRule="auto"/>
        <w:ind w:left="851"/>
        <w:rPr>
          <w:sz w:val="24"/>
        </w:rPr>
      </w:pPr>
    </w:p>
    <w:p w14:paraId="6F7B74AA" w14:textId="77777777" w:rsidR="00CC28CD" w:rsidRDefault="00CC28CD" w:rsidP="00CC28CD">
      <w:pPr>
        <w:pStyle w:val="BodyText"/>
        <w:spacing w:after="240" w:line="276" w:lineRule="auto"/>
        <w:ind w:left="1985" w:hanging="709"/>
        <w:rPr>
          <w:sz w:val="24"/>
        </w:rPr>
      </w:pPr>
      <w:r>
        <w:rPr>
          <w:sz w:val="24"/>
        </w:rPr>
        <w:t>(</w:t>
      </w:r>
      <w:proofErr w:type="spellStart"/>
      <w:r>
        <w:rPr>
          <w:sz w:val="24"/>
        </w:rPr>
        <w:t>i</w:t>
      </w:r>
      <w:proofErr w:type="spellEnd"/>
      <w:r>
        <w:rPr>
          <w:sz w:val="24"/>
        </w:rPr>
        <w:t>)</w:t>
      </w:r>
      <w:r>
        <w:rPr>
          <w:sz w:val="24"/>
        </w:rPr>
        <w:tab/>
      </w:r>
      <w:r w:rsidR="00DE0B84" w:rsidRPr="007118AB">
        <w:rPr>
          <w:sz w:val="24"/>
        </w:rPr>
        <w:t xml:space="preserve">The recommendation was noted and Management in 2012 introduced a process for contract review and developed a contract document control </w:t>
      </w:r>
      <w:proofErr w:type="gramStart"/>
      <w:r w:rsidR="00DE0B84" w:rsidRPr="007118AB">
        <w:rPr>
          <w:sz w:val="24"/>
        </w:rPr>
        <w:t>sheet which</w:t>
      </w:r>
      <w:proofErr w:type="gramEnd"/>
      <w:r w:rsidR="00DE0B84" w:rsidRPr="007118AB">
        <w:rPr>
          <w:sz w:val="24"/>
        </w:rPr>
        <w:t xml:space="preserve"> details the relevant line managers that needs to sign off and approve the contract prior to final sign off.</w:t>
      </w:r>
    </w:p>
    <w:p w14:paraId="6E379F3B" w14:textId="77777777" w:rsidR="00DE0B84" w:rsidRPr="007118AB" w:rsidRDefault="00CC28CD" w:rsidP="00CC28CD">
      <w:pPr>
        <w:pStyle w:val="BodyText"/>
        <w:spacing w:after="240" w:line="276" w:lineRule="auto"/>
        <w:ind w:left="1985" w:hanging="709"/>
        <w:rPr>
          <w:sz w:val="24"/>
        </w:rPr>
      </w:pPr>
      <w:r>
        <w:rPr>
          <w:sz w:val="24"/>
        </w:rPr>
        <w:t>(ii)</w:t>
      </w:r>
      <w:r>
        <w:rPr>
          <w:sz w:val="24"/>
        </w:rPr>
        <w:tab/>
      </w:r>
      <w:r w:rsidR="00DE0B84" w:rsidRPr="007118AB">
        <w:rPr>
          <w:sz w:val="24"/>
        </w:rPr>
        <w:t xml:space="preserve">The contracts </w:t>
      </w:r>
      <w:proofErr w:type="gramStart"/>
      <w:r w:rsidR="00DE0B84" w:rsidRPr="007118AB">
        <w:rPr>
          <w:sz w:val="24"/>
        </w:rPr>
        <w:t>are then housed</w:t>
      </w:r>
      <w:proofErr w:type="gramEnd"/>
      <w:r w:rsidR="00DE0B84" w:rsidRPr="007118AB">
        <w:rPr>
          <w:sz w:val="24"/>
        </w:rPr>
        <w:t xml:space="preserve"> with the Senior Manager Legal Services and the Office of the Registrar.</w:t>
      </w:r>
    </w:p>
    <w:p w14:paraId="66E495D7" w14:textId="77777777" w:rsidR="00DE0B84" w:rsidRPr="007118AB" w:rsidRDefault="00DE0B84" w:rsidP="00CC28CD">
      <w:pPr>
        <w:pStyle w:val="BodyText"/>
        <w:pBdr>
          <w:top w:val="single" w:sz="4" w:space="1" w:color="auto"/>
          <w:left w:val="single" w:sz="4" w:space="4" w:color="auto"/>
          <w:bottom w:val="single" w:sz="4" w:space="1" w:color="auto"/>
          <w:right w:val="single" w:sz="4" w:space="4" w:color="auto"/>
        </w:pBdr>
        <w:shd w:val="clear" w:color="auto" w:fill="E5B8B7" w:themeFill="accent2" w:themeFillTint="66"/>
        <w:spacing w:line="276" w:lineRule="auto"/>
        <w:ind w:left="1418"/>
        <w:rPr>
          <w:b/>
          <w:sz w:val="24"/>
        </w:rPr>
      </w:pPr>
      <w:r w:rsidRPr="007118AB">
        <w:rPr>
          <w:b/>
          <w:sz w:val="24"/>
        </w:rPr>
        <w:t>Action</w:t>
      </w:r>
      <w:r w:rsidR="00865449">
        <w:rPr>
          <w:b/>
          <w:sz w:val="24"/>
        </w:rPr>
        <w:t xml:space="preserve"> by current Council</w:t>
      </w:r>
    </w:p>
    <w:p w14:paraId="6A55393C" w14:textId="77777777" w:rsidR="00DE0B84" w:rsidRPr="007118AB" w:rsidRDefault="00DE0B84" w:rsidP="00DE0B84">
      <w:pPr>
        <w:spacing w:line="276" w:lineRule="auto"/>
        <w:ind w:left="851"/>
        <w:rPr>
          <w:sz w:val="24"/>
        </w:rPr>
      </w:pPr>
    </w:p>
    <w:p w14:paraId="6281B4B9" w14:textId="77777777" w:rsidR="00DE0B84" w:rsidRPr="007118AB" w:rsidRDefault="00DE0B84" w:rsidP="00CC28CD">
      <w:pPr>
        <w:spacing w:line="276" w:lineRule="auto"/>
        <w:ind w:left="1276"/>
        <w:jc w:val="both"/>
        <w:rPr>
          <w:sz w:val="24"/>
        </w:rPr>
      </w:pPr>
      <w:r w:rsidRPr="007118AB">
        <w:rPr>
          <w:sz w:val="24"/>
        </w:rPr>
        <w:t xml:space="preserve">Council noted the mechanisms implemented by Council and resolved that it </w:t>
      </w:r>
      <w:proofErr w:type="gramStart"/>
      <w:r w:rsidRPr="007118AB">
        <w:rPr>
          <w:sz w:val="24"/>
        </w:rPr>
        <w:t>be monitored</w:t>
      </w:r>
      <w:proofErr w:type="gramEnd"/>
      <w:r w:rsidRPr="007118AB">
        <w:rPr>
          <w:sz w:val="24"/>
        </w:rPr>
        <w:t xml:space="preserve"> accordingly.</w:t>
      </w:r>
    </w:p>
    <w:p w14:paraId="24FEF5B3" w14:textId="77777777" w:rsidR="00CC28CD" w:rsidRDefault="00CC28CD" w:rsidP="00DE0B84">
      <w:pPr>
        <w:jc w:val="both"/>
        <w:rPr>
          <w:sz w:val="24"/>
        </w:rPr>
      </w:pPr>
    </w:p>
    <w:p w14:paraId="64249B5B" w14:textId="77777777" w:rsidR="00865449" w:rsidRDefault="00865449" w:rsidP="00DE0B84">
      <w:pPr>
        <w:jc w:val="both"/>
        <w:rPr>
          <w:sz w:val="24"/>
        </w:rPr>
      </w:pPr>
    </w:p>
    <w:p w14:paraId="6B68EF43" w14:textId="77777777" w:rsidR="00DE0B84" w:rsidRDefault="00545709" w:rsidP="00545709">
      <w:pPr>
        <w:tabs>
          <w:tab w:val="left" w:pos="1276"/>
        </w:tabs>
        <w:ind w:left="709" w:hanging="709"/>
        <w:jc w:val="both"/>
        <w:rPr>
          <w:sz w:val="24"/>
        </w:rPr>
      </w:pPr>
      <w:r>
        <w:rPr>
          <w:sz w:val="24"/>
        </w:rPr>
        <w:t>(</w:t>
      </w:r>
      <w:r w:rsidR="00DE0B84" w:rsidRPr="007118AB">
        <w:rPr>
          <w:sz w:val="24"/>
        </w:rPr>
        <w:t>b)</w:t>
      </w:r>
      <w:r>
        <w:rPr>
          <w:sz w:val="24"/>
        </w:rPr>
        <w:tab/>
        <w:t>(</w:t>
      </w:r>
      <w:proofErr w:type="gramStart"/>
      <w:r>
        <w:rPr>
          <w:sz w:val="24"/>
        </w:rPr>
        <w:t>ii</w:t>
      </w:r>
      <w:proofErr w:type="gramEnd"/>
      <w:r>
        <w:rPr>
          <w:sz w:val="24"/>
        </w:rPr>
        <w:t>)</w:t>
      </w:r>
      <w:r>
        <w:rPr>
          <w:sz w:val="24"/>
        </w:rPr>
        <w:tab/>
      </w:r>
      <w:r w:rsidR="00DE0B84" w:rsidRPr="00545709">
        <w:rPr>
          <w:sz w:val="24"/>
        </w:rPr>
        <w:t>None</w:t>
      </w:r>
    </w:p>
    <w:p w14:paraId="33AFCB30" w14:textId="77777777" w:rsidR="00545709" w:rsidRDefault="00545709" w:rsidP="00545709">
      <w:pPr>
        <w:tabs>
          <w:tab w:val="left" w:pos="1276"/>
        </w:tabs>
        <w:ind w:left="709" w:hanging="709"/>
        <w:jc w:val="both"/>
        <w:rPr>
          <w:sz w:val="24"/>
        </w:rPr>
      </w:pPr>
    </w:p>
    <w:p w14:paraId="7A12AF00" w14:textId="77777777" w:rsidR="00DE0B84" w:rsidRDefault="00545709" w:rsidP="00545709">
      <w:pPr>
        <w:tabs>
          <w:tab w:val="left" w:pos="709"/>
          <w:tab w:val="left" w:pos="1276"/>
        </w:tabs>
        <w:ind w:left="1276" w:hanging="1276"/>
        <w:jc w:val="both"/>
        <w:rPr>
          <w:i/>
          <w:sz w:val="24"/>
        </w:rPr>
      </w:pPr>
      <w:r>
        <w:rPr>
          <w:sz w:val="24"/>
        </w:rPr>
        <w:tab/>
        <w:t>(iii)</w:t>
      </w:r>
      <w:r>
        <w:rPr>
          <w:sz w:val="24"/>
        </w:rPr>
        <w:tab/>
      </w:r>
      <w:r w:rsidRPr="00545709">
        <w:rPr>
          <w:sz w:val="24"/>
        </w:rPr>
        <w:t xml:space="preserve">Recommendation number </w:t>
      </w:r>
      <w:proofErr w:type="gramStart"/>
      <w:r w:rsidR="00DE0B84" w:rsidRPr="00545709">
        <w:rPr>
          <w:i/>
          <w:sz w:val="24"/>
        </w:rPr>
        <w:t>5</w:t>
      </w:r>
      <w:proofErr w:type="gramEnd"/>
      <w:r w:rsidR="00DE0B84" w:rsidRPr="00545709">
        <w:rPr>
          <w:i/>
          <w:sz w:val="24"/>
        </w:rPr>
        <w:t>. Full organizational review and submit proposals to the Minister for the reform of the administrative and governance structures of the health professions”</w:t>
      </w:r>
    </w:p>
    <w:p w14:paraId="39D0868A" w14:textId="77777777" w:rsidR="00865449" w:rsidRPr="00545709" w:rsidRDefault="00865449" w:rsidP="00865449">
      <w:pPr>
        <w:tabs>
          <w:tab w:val="left" w:pos="709"/>
          <w:tab w:val="left" w:pos="1276"/>
        </w:tabs>
        <w:spacing w:line="120" w:lineRule="auto"/>
        <w:ind w:left="1276" w:hanging="1276"/>
        <w:jc w:val="both"/>
        <w:rPr>
          <w:sz w:val="24"/>
        </w:rPr>
      </w:pPr>
    </w:p>
    <w:p w14:paraId="0FC63992" w14:textId="77777777" w:rsidR="00DE0B84" w:rsidRDefault="00DE0B84" w:rsidP="00C444A2">
      <w:pPr>
        <w:ind w:left="851"/>
        <w:jc w:val="both"/>
        <w:rPr>
          <w:sz w:val="24"/>
        </w:rPr>
      </w:pPr>
      <w:r w:rsidRPr="00545709">
        <w:rPr>
          <w:sz w:val="24"/>
        </w:rPr>
        <w:lastRenderedPageBreak/>
        <w:t xml:space="preserve">In executing the MTT recommendation No. 5, Council embarked on a Turnaround Strategy, to enhance our effectiveness and efficiencies through streamlined services. </w:t>
      </w:r>
    </w:p>
    <w:p w14:paraId="429B5CEC" w14:textId="77777777" w:rsidR="00545709" w:rsidRPr="00545709" w:rsidRDefault="00545709" w:rsidP="00C444A2">
      <w:pPr>
        <w:ind w:left="851"/>
        <w:jc w:val="both"/>
        <w:rPr>
          <w:sz w:val="24"/>
        </w:rPr>
      </w:pPr>
    </w:p>
    <w:p w14:paraId="5D489D21" w14:textId="77777777" w:rsidR="00DE0B84" w:rsidRDefault="00DE0B84" w:rsidP="00C444A2">
      <w:pPr>
        <w:ind w:left="851"/>
        <w:jc w:val="both"/>
        <w:rPr>
          <w:sz w:val="24"/>
        </w:rPr>
      </w:pPr>
      <w:r w:rsidRPr="00545709">
        <w:rPr>
          <w:sz w:val="24"/>
        </w:rPr>
        <w:t xml:space="preserve">Thus, for the past 12 months, Council has been moving towards building a new organisation that will be reputable for its innovation, professionalism and excellence in service delivery. </w:t>
      </w:r>
    </w:p>
    <w:p w14:paraId="45C0DB32" w14:textId="77777777" w:rsidR="00545709" w:rsidRPr="00545709" w:rsidRDefault="00545709" w:rsidP="00865449">
      <w:pPr>
        <w:spacing w:line="120" w:lineRule="auto"/>
        <w:ind w:left="851"/>
        <w:jc w:val="both"/>
        <w:rPr>
          <w:sz w:val="24"/>
        </w:rPr>
      </w:pPr>
    </w:p>
    <w:p w14:paraId="12A5EFB3" w14:textId="77777777" w:rsidR="00DE0B84" w:rsidRPr="007118AB" w:rsidRDefault="00DE0B84" w:rsidP="00C444A2">
      <w:pPr>
        <w:ind w:left="851"/>
        <w:jc w:val="both"/>
        <w:rPr>
          <w:b/>
          <w:i/>
          <w:sz w:val="24"/>
        </w:rPr>
      </w:pPr>
      <w:r w:rsidRPr="00545709">
        <w:rPr>
          <w:sz w:val="24"/>
        </w:rPr>
        <w:t>T</w:t>
      </w:r>
      <w:r w:rsidRPr="00545709">
        <w:rPr>
          <w:color w:val="000000" w:themeColor="text1"/>
          <w:sz w:val="24"/>
        </w:rPr>
        <w:t xml:space="preserve">he Turnaround Strategy has focussed on five key </w:t>
      </w:r>
      <w:proofErr w:type="spellStart"/>
      <w:r w:rsidRPr="00545709">
        <w:rPr>
          <w:color w:val="000000" w:themeColor="text1"/>
          <w:sz w:val="24"/>
        </w:rPr>
        <w:t>workstreams</w:t>
      </w:r>
      <w:proofErr w:type="spellEnd"/>
      <w:r w:rsidRPr="00545709">
        <w:rPr>
          <w:color w:val="000000" w:themeColor="text1"/>
          <w:sz w:val="24"/>
        </w:rPr>
        <w:t xml:space="preserve"> that are critical to achieving the above-mentioned objective, namely: Vision &amp; Design (Operating Model design), Business Process Re-engineering, Structure &amp; People (Organisational Design), IT and Governance.</w:t>
      </w:r>
    </w:p>
    <w:p w14:paraId="02E9540A" w14:textId="77777777" w:rsidR="00DE0B84" w:rsidRPr="007118AB" w:rsidRDefault="00DE0B84" w:rsidP="00865449">
      <w:pPr>
        <w:spacing w:line="120" w:lineRule="auto"/>
        <w:ind w:left="851"/>
        <w:rPr>
          <w:i/>
          <w:color w:val="000000" w:themeColor="text1"/>
          <w:sz w:val="24"/>
        </w:rPr>
      </w:pPr>
    </w:p>
    <w:p w14:paraId="4C49A4FA" w14:textId="77777777" w:rsidR="00DE0B84" w:rsidRDefault="00DE0B84" w:rsidP="00C444A2">
      <w:pPr>
        <w:ind w:left="851"/>
        <w:jc w:val="both"/>
        <w:rPr>
          <w:sz w:val="24"/>
        </w:rPr>
      </w:pPr>
      <w:r w:rsidRPr="00545709">
        <w:rPr>
          <w:sz w:val="24"/>
        </w:rPr>
        <w:t xml:space="preserve">Benefits from the Turnaround Strategy are already being realised by HPCSA and their customers through the reduction of turnaround times in the Registration Department and the elimination of </w:t>
      </w:r>
      <w:proofErr w:type="gramStart"/>
      <w:r w:rsidRPr="00545709">
        <w:rPr>
          <w:sz w:val="24"/>
        </w:rPr>
        <w:t>backlog practitioner registration applications</w:t>
      </w:r>
      <w:proofErr w:type="gramEnd"/>
      <w:r w:rsidRPr="00545709">
        <w:rPr>
          <w:sz w:val="24"/>
        </w:rPr>
        <w:t xml:space="preserve">. Implementation of additional Quick-Wins are underway. A Complaints Handling Unit within Ethics &amp; Professional Conduct </w:t>
      </w:r>
      <w:proofErr w:type="gramStart"/>
      <w:r w:rsidRPr="00545709">
        <w:rPr>
          <w:sz w:val="24"/>
        </w:rPr>
        <w:t>is being piloted</w:t>
      </w:r>
      <w:proofErr w:type="gramEnd"/>
      <w:r w:rsidRPr="00545709">
        <w:rPr>
          <w:sz w:val="24"/>
        </w:rPr>
        <w:t xml:space="preserve"> with the objective of reducing the turnaround time and accuracy of the initial perusal of complaints received by the HPCSA. A complaints backlog reduction plan </w:t>
      </w:r>
      <w:proofErr w:type="gramStart"/>
      <w:r w:rsidRPr="00545709">
        <w:rPr>
          <w:sz w:val="24"/>
        </w:rPr>
        <w:t>is also being developed</w:t>
      </w:r>
      <w:proofErr w:type="gramEnd"/>
      <w:r w:rsidRPr="00545709">
        <w:rPr>
          <w:sz w:val="24"/>
        </w:rPr>
        <w:t xml:space="preserve"> for immediate implementation. Analysis on HPCSA’s governance structure is still underway.</w:t>
      </w:r>
    </w:p>
    <w:p w14:paraId="404ADE25" w14:textId="77777777" w:rsidR="00545709" w:rsidRPr="00545709" w:rsidRDefault="00545709" w:rsidP="00865449">
      <w:pPr>
        <w:spacing w:line="120" w:lineRule="auto"/>
        <w:ind w:left="851"/>
        <w:jc w:val="both"/>
        <w:rPr>
          <w:sz w:val="24"/>
        </w:rPr>
      </w:pPr>
    </w:p>
    <w:p w14:paraId="1338FB53" w14:textId="77777777" w:rsidR="00DE0B84" w:rsidRDefault="00DE0B84" w:rsidP="00C444A2">
      <w:pPr>
        <w:ind w:left="851"/>
        <w:jc w:val="both"/>
        <w:rPr>
          <w:sz w:val="24"/>
        </w:rPr>
      </w:pPr>
      <w:r w:rsidRPr="00545709">
        <w:rPr>
          <w:sz w:val="24"/>
        </w:rPr>
        <w:t>Council at its 9</w:t>
      </w:r>
      <w:r w:rsidRPr="00545709">
        <w:rPr>
          <w:sz w:val="24"/>
          <w:vertAlign w:val="superscript"/>
        </w:rPr>
        <w:t>th</w:t>
      </w:r>
      <w:r w:rsidRPr="00545709">
        <w:rPr>
          <w:sz w:val="24"/>
        </w:rPr>
        <w:t xml:space="preserve"> Ordinary meeting in March 2018, tasked Fever Tree Consulting and Secretariat to embark on a consultative process with all the relevant structures of Council and submit a comprehensive report in the subsequent meetings of Council inclusive of the following:</w:t>
      </w:r>
    </w:p>
    <w:p w14:paraId="0C0E5661" w14:textId="77777777" w:rsidR="00545709" w:rsidRPr="00545709" w:rsidRDefault="00545709" w:rsidP="00C444A2">
      <w:pPr>
        <w:ind w:left="851"/>
        <w:jc w:val="both"/>
        <w:rPr>
          <w:sz w:val="24"/>
        </w:rPr>
      </w:pPr>
    </w:p>
    <w:p w14:paraId="1D1475B2" w14:textId="77777777" w:rsidR="00DE0B84" w:rsidRPr="00545709" w:rsidRDefault="00DE0B84" w:rsidP="00551F7B">
      <w:pPr>
        <w:pStyle w:val="ListParagraph"/>
        <w:numPr>
          <w:ilvl w:val="1"/>
          <w:numId w:val="3"/>
        </w:numPr>
        <w:spacing w:after="240"/>
        <w:ind w:left="1418" w:hanging="567"/>
        <w:contextualSpacing w:val="0"/>
        <w:jc w:val="both"/>
        <w:rPr>
          <w:sz w:val="24"/>
        </w:rPr>
      </w:pPr>
      <w:r w:rsidRPr="00545709">
        <w:rPr>
          <w:sz w:val="24"/>
        </w:rPr>
        <w:t>Revised Terms of Reference for all Committees of Council including the proposed Inter-Board Committee of Council</w:t>
      </w:r>
    </w:p>
    <w:p w14:paraId="34F3F8D1" w14:textId="77777777" w:rsidR="00DE0B84" w:rsidRPr="00545709" w:rsidRDefault="00DE0B84" w:rsidP="00551F7B">
      <w:pPr>
        <w:pStyle w:val="ListParagraph"/>
        <w:numPr>
          <w:ilvl w:val="1"/>
          <w:numId w:val="3"/>
        </w:numPr>
        <w:spacing w:after="240"/>
        <w:ind w:left="1418" w:hanging="567"/>
        <w:contextualSpacing w:val="0"/>
        <w:jc w:val="both"/>
        <w:rPr>
          <w:sz w:val="24"/>
        </w:rPr>
      </w:pPr>
      <w:r w:rsidRPr="00545709">
        <w:rPr>
          <w:sz w:val="24"/>
        </w:rPr>
        <w:t>Terms of Reference for the Proposed Committees of the Professional Boards including the Joint Standing Committee/s of Professional Boards</w:t>
      </w:r>
    </w:p>
    <w:p w14:paraId="0E9D4AE3" w14:textId="77777777" w:rsidR="00DE0B84" w:rsidRPr="00545709" w:rsidRDefault="00DE0B84" w:rsidP="00551F7B">
      <w:pPr>
        <w:pStyle w:val="ListParagraph"/>
        <w:numPr>
          <w:ilvl w:val="1"/>
          <w:numId w:val="3"/>
        </w:numPr>
        <w:spacing w:after="240"/>
        <w:ind w:left="1418" w:hanging="567"/>
        <w:contextualSpacing w:val="0"/>
        <w:jc w:val="both"/>
        <w:rPr>
          <w:sz w:val="24"/>
        </w:rPr>
      </w:pPr>
      <w:r w:rsidRPr="00545709">
        <w:rPr>
          <w:sz w:val="24"/>
        </w:rPr>
        <w:t>New Delegations of Authority</w:t>
      </w:r>
    </w:p>
    <w:p w14:paraId="434E9B97" w14:textId="77777777" w:rsidR="00DE0B84" w:rsidRPr="00545709" w:rsidRDefault="00DE0B84" w:rsidP="00551F7B">
      <w:pPr>
        <w:pStyle w:val="ListParagraph"/>
        <w:numPr>
          <w:ilvl w:val="1"/>
          <w:numId w:val="3"/>
        </w:numPr>
        <w:spacing w:after="240"/>
        <w:ind w:left="1418" w:hanging="567"/>
        <w:contextualSpacing w:val="0"/>
        <w:jc w:val="both"/>
        <w:rPr>
          <w:sz w:val="24"/>
        </w:rPr>
      </w:pPr>
      <w:r w:rsidRPr="00545709">
        <w:rPr>
          <w:sz w:val="24"/>
        </w:rPr>
        <w:t>A clear framework on the functioning of Council, Professional Boards and Secretariat in view of the Proposed Committees of Council &amp; Professional Boards, the New Functional/Organizational Design and the New Delegations of Powers/Duties.</w:t>
      </w:r>
    </w:p>
    <w:p w14:paraId="39B3C161" w14:textId="77777777" w:rsidR="00DE0B84" w:rsidRPr="00545709" w:rsidRDefault="00DE0B84" w:rsidP="00551F7B">
      <w:pPr>
        <w:pStyle w:val="ListParagraph"/>
        <w:numPr>
          <w:ilvl w:val="1"/>
          <w:numId w:val="3"/>
        </w:numPr>
        <w:spacing w:after="240"/>
        <w:ind w:left="1418" w:hanging="567"/>
        <w:contextualSpacing w:val="0"/>
        <w:jc w:val="both"/>
        <w:rPr>
          <w:sz w:val="24"/>
        </w:rPr>
      </w:pPr>
      <w:r w:rsidRPr="00545709">
        <w:rPr>
          <w:sz w:val="24"/>
        </w:rPr>
        <w:t>The rationale behind the proposed new committee structures of Council and Professional Boards</w:t>
      </w:r>
    </w:p>
    <w:p w14:paraId="400E71B1" w14:textId="77777777" w:rsidR="00DE0B84" w:rsidRDefault="00DE0B84" w:rsidP="00C444A2">
      <w:pPr>
        <w:ind w:left="851"/>
        <w:jc w:val="both"/>
        <w:rPr>
          <w:sz w:val="24"/>
        </w:rPr>
      </w:pPr>
      <w:r w:rsidRPr="00545709">
        <w:rPr>
          <w:sz w:val="24"/>
          <w:u w:val="single"/>
        </w:rPr>
        <w:t>Other Issues in MTT Report</w:t>
      </w:r>
      <w:r w:rsidRPr="00545709">
        <w:rPr>
          <w:sz w:val="24"/>
        </w:rPr>
        <w:t xml:space="preserve">: Council further resolved that all the Professional Board incidents that form part of the report </w:t>
      </w:r>
      <w:proofErr w:type="gramStart"/>
      <w:r w:rsidRPr="00545709">
        <w:rPr>
          <w:sz w:val="24"/>
        </w:rPr>
        <w:t>was reviewed and addressed as a matter of urgency</w:t>
      </w:r>
      <w:proofErr w:type="gramEnd"/>
      <w:r w:rsidRPr="00545709">
        <w:rPr>
          <w:sz w:val="24"/>
        </w:rPr>
        <w:t xml:space="preserve">. This </w:t>
      </w:r>
      <w:proofErr w:type="gramStart"/>
      <w:r w:rsidRPr="00545709">
        <w:rPr>
          <w:sz w:val="24"/>
        </w:rPr>
        <w:t>was done</w:t>
      </w:r>
      <w:proofErr w:type="gramEnd"/>
      <w:r w:rsidRPr="00545709">
        <w:rPr>
          <w:sz w:val="24"/>
        </w:rPr>
        <w:t xml:space="preserve"> in consultation with the relevant constituencies (e.g. Professional Boards and its committees).</w:t>
      </w:r>
    </w:p>
    <w:p w14:paraId="052C69C6" w14:textId="77777777" w:rsidR="00545709" w:rsidRPr="00545709" w:rsidRDefault="00545709" w:rsidP="00C444A2">
      <w:pPr>
        <w:ind w:left="851"/>
        <w:jc w:val="both"/>
        <w:rPr>
          <w:sz w:val="24"/>
        </w:rPr>
      </w:pPr>
    </w:p>
    <w:p w14:paraId="13E27593" w14:textId="77777777" w:rsidR="00545709" w:rsidRPr="00545709" w:rsidRDefault="00865449" w:rsidP="00C444A2">
      <w:pPr>
        <w:ind w:left="851" w:hanging="851"/>
        <w:jc w:val="both"/>
        <w:rPr>
          <w:sz w:val="24"/>
        </w:rPr>
      </w:pPr>
      <w:r>
        <w:rPr>
          <w:sz w:val="24"/>
        </w:rPr>
        <w:t xml:space="preserve"> </w:t>
      </w:r>
      <w:r w:rsidR="00545709">
        <w:rPr>
          <w:sz w:val="24"/>
        </w:rPr>
        <w:t>(</w:t>
      </w:r>
      <w:r w:rsidR="00545709" w:rsidRPr="00545709">
        <w:rPr>
          <w:sz w:val="24"/>
        </w:rPr>
        <w:t xml:space="preserve">c) </w:t>
      </w:r>
      <w:r w:rsidR="00545709">
        <w:rPr>
          <w:sz w:val="24"/>
        </w:rPr>
        <w:tab/>
      </w:r>
      <w:r w:rsidR="00545709" w:rsidRPr="00545709">
        <w:rPr>
          <w:sz w:val="24"/>
        </w:rPr>
        <w:t>Not Applicable</w:t>
      </w:r>
    </w:p>
    <w:p w14:paraId="71C5350F" w14:textId="77777777" w:rsidR="00865449" w:rsidRDefault="00865449" w:rsidP="00C444A2">
      <w:pPr>
        <w:pStyle w:val="BodyText"/>
        <w:ind w:left="851"/>
        <w:rPr>
          <w:sz w:val="24"/>
          <w:lang w:val="en-GB"/>
        </w:rPr>
      </w:pPr>
    </w:p>
    <w:p w14:paraId="3591642E" w14:textId="77777777" w:rsidR="00E238C2" w:rsidRPr="007118AB" w:rsidRDefault="00E238C2" w:rsidP="00C444A2">
      <w:pPr>
        <w:pStyle w:val="BodyText"/>
        <w:ind w:left="851"/>
        <w:rPr>
          <w:b/>
          <w:bCs/>
          <w:sz w:val="24"/>
          <w:lang w:val="en-GB"/>
        </w:rPr>
      </w:pPr>
      <w:r w:rsidRPr="007118AB">
        <w:rPr>
          <w:sz w:val="24"/>
          <w:lang w:val="en-GB"/>
        </w:rPr>
        <w:t>END.</w:t>
      </w:r>
    </w:p>
    <w:sectPr w:rsidR="00E238C2" w:rsidRPr="007118AB"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23A88" w14:textId="77777777" w:rsidR="00013912" w:rsidRDefault="00013912">
      <w:r>
        <w:separator/>
      </w:r>
    </w:p>
  </w:endnote>
  <w:endnote w:type="continuationSeparator" w:id="0">
    <w:p w14:paraId="47E3557B" w14:textId="77777777" w:rsidR="00013912" w:rsidRDefault="0001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AF5C" w14:textId="77777777" w:rsidR="00A2032B" w:rsidRDefault="008726AE">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14:paraId="2A3B428D" w14:textId="77777777"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748D" w14:textId="0039703B" w:rsidR="00A2032B" w:rsidRDefault="008726AE">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1A3633">
      <w:rPr>
        <w:rStyle w:val="PageNumber"/>
        <w:noProof/>
        <w:lang w:val="en-US"/>
      </w:rPr>
      <w:t>6</w:t>
    </w:r>
    <w:r>
      <w:rPr>
        <w:rStyle w:val="PageNumber"/>
        <w:lang w:val="en-US"/>
      </w:rPr>
      <w:fldChar w:fldCharType="end"/>
    </w:r>
  </w:p>
  <w:p w14:paraId="65D60429" w14:textId="77777777"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D098F" w14:textId="77777777" w:rsidR="00013912" w:rsidRDefault="00013912">
      <w:r>
        <w:separator/>
      </w:r>
    </w:p>
  </w:footnote>
  <w:footnote w:type="continuationSeparator" w:id="0">
    <w:p w14:paraId="752B93B3" w14:textId="77777777" w:rsidR="00013912" w:rsidRDefault="0001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42B"/>
    <w:multiLevelType w:val="hybridMultilevel"/>
    <w:tmpl w:val="EF121DFE"/>
    <w:lvl w:ilvl="0" w:tplc="7550FE98">
      <w:start w:val="3"/>
      <w:numFmt w:val="bullet"/>
      <w:lvlText w:val="•"/>
      <w:lvlJc w:val="left"/>
      <w:pPr>
        <w:ind w:left="850" w:hanging="85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08C748A"/>
    <w:multiLevelType w:val="hybridMultilevel"/>
    <w:tmpl w:val="CF3CE3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69184ED2">
      <w:start w:val="2"/>
      <w:numFmt w:val="upp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BA6C50"/>
    <w:multiLevelType w:val="hybridMultilevel"/>
    <w:tmpl w:val="431261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035B"/>
    <w:rsid w:val="00000424"/>
    <w:rsid w:val="00004C91"/>
    <w:rsid w:val="00007447"/>
    <w:rsid w:val="00012AE9"/>
    <w:rsid w:val="00013912"/>
    <w:rsid w:val="000153FE"/>
    <w:rsid w:val="0001570B"/>
    <w:rsid w:val="00023BF4"/>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86E43"/>
    <w:rsid w:val="001934EC"/>
    <w:rsid w:val="001976A7"/>
    <w:rsid w:val="001A3633"/>
    <w:rsid w:val="001A5759"/>
    <w:rsid w:val="001A5BBB"/>
    <w:rsid w:val="001B3F50"/>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4F93"/>
    <w:rsid w:val="0024216E"/>
    <w:rsid w:val="002519F4"/>
    <w:rsid w:val="0026455A"/>
    <w:rsid w:val="0026455E"/>
    <w:rsid w:val="00267FDF"/>
    <w:rsid w:val="00271665"/>
    <w:rsid w:val="002832F3"/>
    <w:rsid w:val="00294557"/>
    <w:rsid w:val="002A0E7D"/>
    <w:rsid w:val="002A5288"/>
    <w:rsid w:val="002B20CB"/>
    <w:rsid w:val="002B32D0"/>
    <w:rsid w:val="002B366B"/>
    <w:rsid w:val="002B4653"/>
    <w:rsid w:val="002C7F1D"/>
    <w:rsid w:val="002E3FA9"/>
    <w:rsid w:val="002F747D"/>
    <w:rsid w:val="00300051"/>
    <w:rsid w:val="0030381C"/>
    <w:rsid w:val="00311920"/>
    <w:rsid w:val="003157A0"/>
    <w:rsid w:val="0031728A"/>
    <w:rsid w:val="0031798D"/>
    <w:rsid w:val="003261BA"/>
    <w:rsid w:val="00330A1B"/>
    <w:rsid w:val="0034705D"/>
    <w:rsid w:val="00347418"/>
    <w:rsid w:val="003548B4"/>
    <w:rsid w:val="00355BB7"/>
    <w:rsid w:val="00357A10"/>
    <w:rsid w:val="00366B08"/>
    <w:rsid w:val="00366E06"/>
    <w:rsid w:val="0036751E"/>
    <w:rsid w:val="00371538"/>
    <w:rsid w:val="003715DB"/>
    <w:rsid w:val="00382D92"/>
    <w:rsid w:val="00387A5F"/>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0EB6"/>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370C"/>
    <w:rsid w:val="005444C6"/>
    <w:rsid w:val="005446A0"/>
    <w:rsid w:val="00545709"/>
    <w:rsid w:val="00545D42"/>
    <w:rsid w:val="00547112"/>
    <w:rsid w:val="005500AE"/>
    <w:rsid w:val="00550CF9"/>
    <w:rsid w:val="00551F7B"/>
    <w:rsid w:val="0055331A"/>
    <w:rsid w:val="00557CEE"/>
    <w:rsid w:val="0056205A"/>
    <w:rsid w:val="00563653"/>
    <w:rsid w:val="00570065"/>
    <w:rsid w:val="00574AA4"/>
    <w:rsid w:val="00576020"/>
    <w:rsid w:val="00586AC5"/>
    <w:rsid w:val="005937C8"/>
    <w:rsid w:val="005938AC"/>
    <w:rsid w:val="005A3895"/>
    <w:rsid w:val="005A6911"/>
    <w:rsid w:val="005C171D"/>
    <w:rsid w:val="005C4284"/>
    <w:rsid w:val="005C491B"/>
    <w:rsid w:val="005D0D19"/>
    <w:rsid w:val="005D55C6"/>
    <w:rsid w:val="005D7A2A"/>
    <w:rsid w:val="005E1FBC"/>
    <w:rsid w:val="005E5D63"/>
    <w:rsid w:val="005E7BF6"/>
    <w:rsid w:val="005F43ED"/>
    <w:rsid w:val="00602574"/>
    <w:rsid w:val="00610BC7"/>
    <w:rsid w:val="00616273"/>
    <w:rsid w:val="00616356"/>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3C72"/>
    <w:rsid w:val="006D617D"/>
    <w:rsid w:val="006E2082"/>
    <w:rsid w:val="006E6C41"/>
    <w:rsid w:val="006E77B3"/>
    <w:rsid w:val="006E7C45"/>
    <w:rsid w:val="006F1231"/>
    <w:rsid w:val="006F221E"/>
    <w:rsid w:val="006F4912"/>
    <w:rsid w:val="006F501B"/>
    <w:rsid w:val="006F69D0"/>
    <w:rsid w:val="006F7E16"/>
    <w:rsid w:val="007118AB"/>
    <w:rsid w:val="00713A4E"/>
    <w:rsid w:val="0071681E"/>
    <w:rsid w:val="00721839"/>
    <w:rsid w:val="00724719"/>
    <w:rsid w:val="007260C3"/>
    <w:rsid w:val="0072738D"/>
    <w:rsid w:val="007277C0"/>
    <w:rsid w:val="0073094D"/>
    <w:rsid w:val="0073145E"/>
    <w:rsid w:val="00735915"/>
    <w:rsid w:val="00740BE5"/>
    <w:rsid w:val="00750265"/>
    <w:rsid w:val="00762416"/>
    <w:rsid w:val="00766F57"/>
    <w:rsid w:val="0076792C"/>
    <w:rsid w:val="00770293"/>
    <w:rsid w:val="0077035F"/>
    <w:rsid w:val="00770C17"/>
    <w:rsid w:val="00771EB2"/>
    <w:rsid w:val="00773A22"/>
    <w:rsid w:val="00786C98"/>
    <w:rsid w:val="00786EC5"/>
    <w:rsid w:val="007930D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06BF2"/>
    <w:rsid w:val="0081272C"/>
    <w:rsid w:val="00815128"/>
    <w:rsid w:val="00815BE6"/>
    <w:rsid w:val="00816881"/>
    <w:rsid w:val="00827A03"/>
    <w:rsid w:val="0084076E"/>
    <w:rsid w:val="00846CD4"/>
    <w:rsid w:val="00852234"/>
    <w:rsid w:val="008603CC"/>
    <w:rsid w:val="00860B56"/>
    <w:rsid w:val="00865449"/>
    <w:rsid w:val="0086637B"/>
    <w:rsid w:val="008726AE"/>
    <w:rsid w:val="008909CC"/>
    <w:rsid w:val="00891B7A"/>
    <w:rsid w:val="00893EA4"/>
    <w:rsid w:val="0089783C"/>
    <w:rsid w:val="008A2BAB"/>
    <w:rsid w:val="008A34C5"/>
    <w:rsid w:val="008A6AF9"/>
    <w:rsid w:val="008A7169"/>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592"/>
    <w:rsid w:val="00952995"/>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032B"/>
    <w:rsid w:val="00A24207"/>
    <w:rsid w:val="00A24CAA"/>
    <w:rsid w:val="00A251E7"/>
    <w:rsid w:val="00A346DA"/>
    <w:rsid w:val="00A34C5E"/>
    <w:rsid w:val="00A4066B"/>
    <w:rsid w:val="00A41FC8"/>
    <w:rsid w:val="00A42F9C"/>
    <w:rsid w:val="00A431D7"/>
    <w:rsid w:val="00A46BC2"/>
    <w:rsid w:val="00A50E3A"/>
    <w:rsid w:val="00A51CEC"/>
    <w:rsid w:val="00A60052"/>
    <w:rsid w:val="00A6048F"/>
    <w:rsid w:val="00A7509E"/>
    <w:rsid w:val="00A76B2C"/>
    <w:rsid w:val="00A80234"/>
    <w:rsid w:val="00A80F10"/>
    <w:rsid w:val="00A82D5D"/>
    <w:rsid w:val="00A84A36"/>
    <w:rsid w:val="00A87CFA"/>
    <w:rsid w:val="00A915F5"/>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647A"/>
    <w:rsid w:val="00B37F60"/>
    <w:rsid w:val="00B41548"/>
    <w:rsid w:val="00B519E0"/>
    <w:rsid w:val="00B561F9"/>
    <w:rsid w:val="00B6102B"/>
    <w:rsid w:val="00B612C9"/>
    <w:rsid w:val="00B6157A"/>
    <w:rsid w:val="00B61A27"/>
    <w:rsid w:val="00B63222"/>
    <w:rsid w:val="00B63926"/>
    <w:rsid w:val="00B64EBD"/>
    <w:rsid w:val="00B74B69"/>
    <w:rsid w:val="00B84CFA"/>
    <w:rsid w:val="00B85B77"/>
    <w:rsid w:val="00B87D92"/>
    <w:rsid w:val="00B9163D"/>
    <w:rsid w:val="00B96E54"/>
    <w:rsid w:val="00B97E9C"/>
    <w:rsid w:val="00BA29AA"/>
    <w:rsid w:val="00BB0549"/>
    <w:rsid w:val="00BB5A2A"/>
    <w:rsid w:val="00BB727B"/>
    <w:rsid w:val="00BC04F9"/>
    <w:rsid w:val="00BC4703"/>
    <w:rsid w:val="00BC6E9C"/>
    <w:rsid w:val="00BC7E1F"/>
    <w:rsid w:val="00BD4034"/>
    <w:rsid w:val="00BE5AF9"/>
    <w:rsid w:val="00BF35AB"/>
    <w:rsid w:val="00BF5E3F"/>
    <w:rsid w:val="00BF7ACB"/>
    <w:rsid w:val="00BF7F80"/>
    <w:rsid w:val="00C0227C"/>
    <w:rsid w:val="00C063AA"/>
    <w:rsid w:val="00C23BC4"/>
    <w:rsid w:val="00C26148"/>
    <w:rsid w:val="00C3756F"/>
    <w:rsid w:val="00C41194"/>
    <w:rsid w:val="00C444A2"/>
    <w:rsid w:val="00C4585E"/>
    <w:rsid w:val="00C461AD"/>
    <w:rsid w:val="00C47DA6"/>
    <w:rsid w:val="00C50944"/>
    <w:rsid w:val="00C50CC5"/>
    <w:rsid w:val="00C52573"/>
    <w:rsid w:val="00C533A5"/>
    <w:rsid w:val="00C61949"/>
    <w:rsid w:val="00C640DD"/>
    <w:rsid w:val="00C70300"/>
    <w:rsid w:val="00C71939"/>
    <w:rsid w:val="00C723FE"/>
    <w:rsid w:val="00C82762"/>
    <w:rsid w:val="00C9010E"/>
    <w:rsid w:val="00C91D4D"/>
    <w:rsid w:val="00CA0154"/>
    <w:rsid w:val="00CA0E36"/>
    <w:rsid w:val="00CB41D7"/>
    <w:rsid w:val="00CB7B23"/>
    <w:rsid w:val="00CC285B"/>
    <w:rsid w:val="00CC28CD"/>
    <w:rsid w:val="00CC603C"/>
    <w:rsid w:val="00CE4529"/>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B84"/>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A6103"/>
    <w:rsid w:val="00EB211A"/>
    <w:rsid w:val="00EB241F"/>
    <w:rsid w:val="00EC6D1A"/>
    <w:rsid w:val="00ED527A"/>
    <w:rsid w:val="00EE00E5"/>
    <w:rsid w:val="00EE56A6"/>
    <w:rsid w:val="00EE7B7D"/>
    <w:rsid w:val="00EE7C2B"/>
    <w:rsid w:val="00EF37D5"/>
    <w:rsid w:val="00EF7FEE"/>
    <w:rsid w:val="00F006CF"/>
    <w:rsid w:val="00F022EF"/>
    <w:rsid w:val="00F03360"/>
    <w:rsid w:val="00F06112"/>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20AC"/>
    <w:rsid w:val="00FA3B21"/>
    <w:rsid w:val="00FA71B1"/>
    <w:rsid w:val="00FA7DE3"/>
    <w:rsid w:val="00FB4984"/>
    <w:rsid w:val="00FB5A74"/>
    <w:rsid w:val="00FC68A2"/>
    <w:rsid w:val="00FC6A90"/>
    <w:rsid w:val="00FC72D9"/>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5154B"/>
  <w15:docId w15:val="{1E873FBD-DF04-4957-9526-B25B37C9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ultiList"/>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1790</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3</cp:revision>
  <cp:lastPrinted>2018-05-07T12:24:00Z</cp:lastPrinted>
  <dcterms:created xsi:type="dcterms:W3CDTF">2018-05-07T12:18:00Z</dcterms:created>
  <dcterms:modified xsi:type="dcterms:W3CDTF">2018-05-07T12:24:00Z</dcterms:modified>
</cp:coreProperties>
</file>