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64" w:rsidRPr="00631668" w:rsidRDefault="00FE5164" w:rsidP="00FE5164">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631668">
        <w:rPr>
          <w:rFonts w:ascii="Times New Roman" w:eastAsia="Times New Roman" w:hAnsi="Times New Roman" w:cs="Times New Roman"/>
          <w:noProof/>
          <w:sz w:val="24"/>
          <w:szCs w:val="24"/>
          <w:lang w:eastAsia="en-ZA"/>
        </w:rPr>
        <w:drawing>
          <wp:inline distT="0" distB="0" distL="0" distR="0">
            <wp:extent cx="952500" cy="97536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FE5164" w:rsidRPr="00631668" w:rsidRDefault="00FE5164" w:rsidP="00FE5164">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 xml:space="preserve">MINISTRY </w:t>
      </w:r>
    </w:p>
    <w:p w:rsidR="00FE5164" w:rsidRPr="00631668" w:rsidRDefault="00FE5164" w:rsidP="00FE5164">
      <w:pP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COOPERATIVE GOVERNANCE AND TRADITIONAL AFFAIRS</w:t>
      </w:r>
    </w:p>
    <w:p w:rsidR="00FE5164" w:rsidRPr="00631668" w:rsidRDefault="00FE5164" w:rsidP="00FE5164">
      <w:pPr>
        <w:pBdr>
          <w:bottom w:val="single" w:sz="6" w:space="1" w:color="auto"/>
        </w:pBdr>
        <w:spacing w:after="0" w:line="240" w:lineRule="auto"/>
        <w:jc w:val="center"/>
        <w:rPr>
          <w:rFonts w:ascii="Arial" w:eastAsia="Times New Roman" w:hAnsi="Arial" w:cs="Arial"/>
          <w:b/>
          <w:sz w:val="24"/>
          <w:szCs w:val="24"/>
          <w:lang w:val="en-US"/>
        </w:rPr>
      </w:pPr>
      <w:r w:rsidRPr="00631668">
        <w:rPr>
          <w:rFonts w:ascii="Arial" w:eastAsia="Times New Roman" w:hAnsi="Arial" w:cs="Arial"/>
          <w:b/>
          <w:sz w:val="24"/>
          <w:szCs w:val="24"/>
          <w:lang w:val="en-US"/>
        </w:rPr>
        <w:t>REPUBLIC OF SOUTH AFRICA</w:t>
      </w:r>
    </w:p>
    <w:p w:rsidR="00FE5164" w:rsidRPr="00631668" w:rsidRDefault="00FE5164" w:rsidP="00FE5164">
      <w:pPr>
        <w:pBdr>
          <w:bottom w:val="single" w:sz="6" w:space="1" w:color="auto"/>
        </w:pBdr>
        <w:spacing w:after="0" w:line="240" w:lineRule="auto"/>
        <w:jc w:val="center"/>
        <w:rPr>
          <w:rFonts w:ascii="Arial" w:eastAsia="Times New Roman" w:hAnsi="Arial" w:cs="Arial"/>
          <w:b/>
          <w:sz w:val="24"/>
          <w:szCs w:val="24"/>
          <w:lang w:val="en-US"/>
        </w:rPr>
      </w:pPr>
    </w:p>
    <w:p w:rsidR="00FE5164" w:rsidRPr="00631668" w:rsidRDefault="00FE5164" w:rsidP="00FE5164">
      <w:pPr>
        <w:spacing w:after="0" w:line="360" w:lineRule="auto"/>
        <w:rPr>
          <w:rFonts w:ascii="Arial" w:eastAsia="Times New Roman" w:hAnsi="Arial" w:cs="Arial"/>
          <w:b/>
          <w:bCs/>
          <w:color w:val="000000"/>
          <w:sz w:val="24"/>
          <w:szCs w:val="24"/>
          <w:lang w:val="en-GB"/>
        </w:rPr>
      </w:pPr>
    </w:p>
    <w:p w:rsidR="00FE5164" w:rsidRPr="00631668" w:rsidRDefault="00FE5164" w:rsidP="00FE5164">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NATIONAL ASSEMBLY</w:t>
      </w:r>
    </w:p>
    <w:p w:rsidR="00FE5164" w:rsidRDefault="00FE5164" w:rsidP="00FE5164">
      <w:pPr>
        <w:spacing w:after="0" w:line="360" w:lineRule="auto"/>
        <w:ind w:left="540" w:hanging="540"/>
        <w:jc w:val="center"/>
        <w:rPr>
          <w:rFonts w:ascii="Arial" w:eastAsia="Times New Roman" w:hAnsi="Arial" w:cs="Arial"/>
          <w:b/>
          <w:bCs/>
          <w:color w:val="000000"/>
          <w:sz w:val="24"/>
          <w:szCs w:val="24"/>
          <w:lang w:val="en-GB"/>
        </w:rPr>
      </w:pPr>
      <w:r w:rsidRPr="00631668">
        <w:rPr>
          <w:rFonts w:ascii="Arial" w:eastAsia="Times New Roman" w:hAnsi="Arial" w:cs="Arial"/>
          <w:b/>
          <w:bCs/>
          <w:color w:val="000000"/>
          <w:sz w:val="24"/>
          <w:szCs w:val="24"/>
          <w:lang w:val="en-GB"/>
        </w:rPr>
        <w:t>QUESTION FOR WRITTEN REPLY</w:t>
      </w:r>
    </w:p>
    <w:p w:rsidR="00FE5164" w:rsidRPr="00631668" w:rsidRDefault="00FE5164" w:rsidP="00FE5164">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1289 OF 2020</w:t>
      </w:r>
    </w:p>
    <w:p w:rsidR="00FE5164" w:rsidRPr="00180B05" w:rsidRDefault="00FE5164" w:rsidP="00FE5164">
      <w:pPr>
        <w:spacing w:after="0" w:line="360" w:lineRule="auto"/>
        <w:jc w:val="both"/>
        <w:outlineLvl w:val="0"/>
        <w:rPr>
          <w:rFonts w:ascii="Arial" w:eastAsia="Times New Roman" w:hAnsi="Arial" w:cs="Arial"/>
          <w:color w:val="000000" w:themeColor="text1"/>
          <w:sz w:val="24"/>
          <w:szCs w:val="24"/>
          <w:lang w:val="en-GB"/>
        </w:rPr>
      </w:pPr>
    </w:p>
    <w:p w:rsidR="00FE5164" w:rsidRPr="00180B05" w:rsidRDefault="00FE5164" w:rsidP="00FE5164">
      <w:pPr>
        <w:spacing w:after="0" w:line="360" w:lineRule="auto"/>
        <w:ind w:left="720" w:hanging="720"/>
        <w:jc w:val="both"/>
        <w:outlineLvl w:val="0"/>
        <w:rPr>
          <w:rFonts w:ascii="Arial" w:eastAsia="Times New Roman" w:hAnsi="Arial" w:cs="Arial"/>
          <w:b/>
          <w:sz w:val="24"/>
          <w:szCs w:val="24"/>
          <w:lang w:val="en-GB"/>
        </w:rPr>
      </w:pPr>
      <w:r w:rsidRPr="00180B05">
        <w:rPr>
          <w:rFonts w:ascii="Arial" w:hAnsi="Arial" w:cs="Arial"/>
          <w:b/>
          <w:sz w:val="24"/>
          <w:szCs w:val="24"/>
        </w:rPr>
        <w:t>◙</w:t>
      </w:r>
      <w:r>
        <w:rPr>
          <w:rFonts w:ascii="Arial" w:eastAsia="Times New Roman" w:hAnsi="Arial" w:cs="Arial"/>
          <w:b/>
          <w:sz w:val="24"/>
          <w:szCs w:val="24"/>
          <w:lang w:val="en-GB"/>
        </w:rPr>
        <w:t xml:space="preserve">1289. </w:t>
      </w:r>
      <w:r w:rsidRPr="00180B05">
        <w:rPr>
          <w:rFonts w:ascii="Arial" w:eastAsia="Times New Roman" w:hAnsi="Arial" w:cs="Arial"/>
          <w:b/>
          <w:sz w:val="24"/>
          <w:szCs w:val="24"/>
          <w:lang w:val="en-GB"/>
        </w:rPr>
        <w:t xml:space="preserve">Mr C Brink (DA) </w:t>
      </w:r>
      <w:r w:rsidRPr="002552B4">
        <w:rPr>
          <w:rFonts w:ascii="Arial" w:eastAsia="Times New Roman" w:hAnsi="Arial" w:cs="Arial"/>
          <w:b/>
          <w:sz w:val="24"/>
          <w:szCs w:val="24"/>
        </w:rPr>
        <w:t xml:space="preserve">to ask the Minister of </w:t>
      </w:r>
      <w:r w:rsidRPr="00180B05">
        <w:rPr>
          <w:rFonts w:ascii="Arial" w:eastAsia="Times New Roman" w:hAnsi="Arial" w:cs="Arial"/>
          <w:b/>
          <w:sz w:val="24"/>
          <w:szCs w:val="24"/>
          <w:lang w:val="en-GB"/>
        </w:rPr>
        <w:t>Cooperative Governance and Traditional Affairs</w:t>
      </w:r>
      <w:r w:rsidR="0006562E" w:rsidRPr="00180B05">
        <w:rPr>
          <w:rFonts w:ascii="Arial" w:eastAsia="Times New Roman" w:hAnsi="Arial" w:cs="Arial"/>
          <w:color w:val="FF0000"/>
          <w:sz w:val="24"/>
          <w:szCs w:val="24"/>
          <w:lang w:val="en-GB"/>
        </w:rPr>
        <w:fldChar w:fldCharType="begin"/>
      </w:r>
      <w:r w:rsidRPr="00180B05">
        <w:rPr>
          <w:rFonts w:ascii="Arial" w:eastAsia="Times New Roman" w:hAnsi="Arial" w:cs="Arial"/>
          <w:color w:val="FF0000"/>
          <w:sz w:val="24"/>
          <w:szCs w:val="24"/>
          <w:lang w:val="en-GB"/>
        </w:rPr>
        <w:instrText xml:space="preserve"> XE "Cooperative Governance and Traditional Affairs" </w:instrText>
      </w:r>
      <w:r w:rsidR="0006562E" w:rsidRPr="00180B05">
        <w:rPr>
          <w:rFonts w:ascii="Arial" w:eastAsia="Times New Roman" w:hAnsi="Arial" w:cs="Arial"/>
          <w:color w:val="FF0000"/>
          <w:sz w:val="24"/>
          <w:szCs w:val="24"/>
          <w:lang w:val="en-GB"/>
        </w:rPr>
        <w:fldChar w:fldCharType="end"/>
      </w:r>
      <w:bookmarkStart w:id="0" w:name="_GoBack"/>
      <w:bookmarkEnd w:id="0"/>
    </w:p>
    <w:p w:rsidR="00FE5164" w:rsidRPr="00180B05" w:rsidRDefault="00FE5164" w:rsidP="00FE5164">
      <w:pPr>
        <w:spacing w:after="0" w:line="360" w:lineRule="auto"/>
        <w:jc w:val="both"/>
        <w:outlineLvl w:val="0"/>
        <w:rPr>
          <w:rFonts w:ascii="Arial" w:eastAsia="Times New Roman" w:hAnsi="Arial" w:cs="Arial"/>
          <w:color w:val="000000" w:themeColor="text1"/>
          <w:sz w:val="24"/>
          <w:szCs w:val="24"/>
        </w:rPr>
      </w:pPr>
      <w:r w:rsidRPr="00180B05">
        <w:rPr>
          <w:rFonts w:ascii="Arial" w:eastAsia="Times New Roman" w:hAnsi="Arial" w:cs="Arial"/>
          <w:color w:val="000000" w:themeColor="text1"/>
          <w:sz w:val="24"/>
          <w:szCs w:val="24"/>
        </w:rPr>
        <w:t>Whether, since her reply to question 468 on 16 September 2019, she has made any attempt to obtain the requested information; if not, what is the position in this regard; if so, (a) what are the full details of the specified attempts, including emails, meetings and telephonic correspondence and (b) why has she failed to provide the requested information to date? NW1657E</w:t>
      </w:r>
    </w:p>
    <w:p w:rsidR="00FE5164" w:rsidRPr="00180B05" w:rsidRDefault="00FE5164" w:rsidP="00FE5164">
      <w:pPr>
        <w:spacing w:after="0" w:line="360" w:lineRule="auto"/>
        <w:jc w:val="both"/>
        <w:outlineLvl w:val="0"/>
        <w:rPr>
          <w:rFonts w:ascii="Arial" w:eastAsia="Times New Roman" w:hAnsi="Arial" w:cs="Arial"/>
          <w:b/>
          <w:bCs/>
          <w:color w:val="000000" w:themeColor="text1"/>
          <w:sz w:val="24"/>
          <w:szCs w:val="24"/>
          <w:lang w:val="en-GB"/>
        </w:rPr>
      </w:pPr>
    </w:p>
    <w:p w:rsidR="00FE5164" w:rsidRPr="00180B05" w:rsidRDefault="00FE5164" w:rsidP="00FE5164">
      <w:pPr>
        <w:spacing w:after="0" w:line="360" w:lineRule="auto"/>
        <w:ind w:left="720" w:hanging="720"/>
        <w:jc w:val="both"/>
        <w:outlineLvl w:val="0"/>
        <w:rPr>
          <w:rFonts w:ascii="Arial" w:eastAsia="Times New Roman" w:hAnsi="Arial" w:cs="Arial"/>
          <w:b/>
          <w:bCs/>
          <w:color w:val="000000" w:themeColor="text1"/>
          <w:sz w:val="24"/>
          <w:szCs w:val="24"/>
          <w:lang w:val="en-GB"/>
        </w:rPr>
      </w:pPr>
      <w:r w:rsidRPr="00180B05">
        <w:rPr>
          <w:rFonts w:ascii="Arial" w:eastAsia="Times New Roman" w:hAnsi="Arial" w:cs="Arial"/>
          <w:b/>
          <w:bCs/>
          <w:color w:val="000000" w:themeColor="text1"/>
          <w:sz w:val="24"/>
          <w:szCs w:val="24"/>
          <w:lang w:val="en-GB"/>
        </w:rPr>
        <w:t>QUESTION NUMBER 468 of 2019</w:t>
      </w:r>
    </w:p>
    <w:p w:rsidR="00FE5164" w:rsidRPr="00180B05" w:rsidRDefault="00FE5164" w:rsidP="00FE5164">
      <w:pPr>
        <w:spacing w:after="0" w:line="360" w:lineRule="auto"/>
        <w:ind w:left="720" w:hanging="720"/>
        <w:jc w:val="both"/>
        <w:outlineLvl w:val="0"/>
        <w:rPr>
          <w:rFonts w:ascii="Arial" w:eastAsia="Times New Roman" w:hAnsi="Arial" w:cs="Arial"/>
          <w:b/>
          <w:color w:val="000000" w:themeColor="text1"/>
          <w:sz w:val="24"/>
          <w:szCs w:val="24"/>
          <w:lang w:val="af-ZA"/>
        </w:rPr>
      </w:pPr>
      <w:r w:rsidRPr="00180B05">
        <w:rPr>
          <w:rFonts w:ascii="Arial" w:eastAsia="Times New Roman" w:hAnsi="Arial" w:cs="Arial"/>
          <w:b/>
          <w:color w:val="000000" w:themeColor="text1"/>
          <w:sz w:val="24"/>
          <w:szCs w:val="24"/>
        </w:rPr>
        <w:t>468. Mr C Brink (DA) to ask the Minister of Cooperative Governance and Traditional Affairs</w:t>
      </w:r>
      <w:r w:rsidRPr="00180B05">
        <w:rPr>
          <w:rFonts w:ascii="Arial" w:eastAsia="Times New Roman" w:hAnsi="Arial" w:cs="Arial"/>
          <w:b/>
          <w:color w:val="000000" w:themeColor="text1"/>
          <w:sz w:val="24"/>
          <w:szCs w:val="24"/>
          <w:lang w:val="af-ZA"/>
        </w:rPr>
        <w:t>:</w:t>
      </w:r>
    </w:p>
    <w:p w:rsidR="00FE5164" w:rsidRPr="00180B05" w:rsidRDefault="00FE5164" w:rsidP="00FE5164">
      <w:pPr>
        <w:numPr>
          <w:ilvl w:val="0"/>
          <w:numId w:val="2"/>
        </w:numPr>
        <w:spacing w:after="0" w:line="360" w:lineRule="auto"/>
        <w:jc w:val="both"/>
        <w:outlineLvl w:val="0"/>
        <w:rPr>
          <w:rFonts w:ascii="Arial" w:eastAsia="Times New Roman" w:hAnsi="Arial" w:cs="Arial"/>
          <w:color w:val="000000" w:themeColor="text1"/>
          <w:sz w:val="24"/>
          <w:szCs w:val="24"/>
          <w:lang w:val="en-GB"/>
        </w:rPr>
      </w:pPr>
      <w:r w:rsidRPr="00180B05">
        <w:rPr>
          <w:rFonts w:ascii="Arial" w:eastAsia="Times New Roman" w:hAnsi="Arial" w:cs="Arial"/>
          <w:color w:val="000000" w:themeColor="text1"/>
          <w:sz w:val="24"/>
          <w:szCs w:val="24"/>
          <w:lang w:val="en-GB"/>
        </w:rPr>
        <w:t xml:space="preserve">(a) </w:t>
      </w:r>
      <w:r w:rsidRPr="00180B05">
        <w:rPr>
          <w:rFonts w:ascii="Arial" w:eastAsia="Times New Roman" w:hAnsi="Arial" w:cs="Arial"/>
          <w:color w:val="000000" w:themeColor="text1"/>
          <w:sz w:val="24"/>
          <w:szCs w:val="24"/>
          <w:lang w:val="en-US"/>
        </w:rPr>
        <w:t>What are the details of the process that needs to be followed by any municipal council when investigating allegations of serious financial misconduct against a municipal manager and (b) on which statutory provisions should they rely in this regard</w:t>
      </w:r>
      <w:r w:rsidRPr="00180B05">
        <w:rPr>
          <w:rFonts w:ascii="Arial" w:eastAsia="Times New Roman" w:hAnsi="Arial" w:cs="Arial"/>
          <w:color w:val="000000" w:themeColor="text1"/>
          <w:sz w:val="24"/>
          <w:szCs w:val="24"/>
          <w:lang w:val="en-GB"/>
        </w:rPr>
        <w:t>;</w:t>
      </w:r>
    </w:p>
    <w:p w:rsidR="00FE5164" w:rsidRPr="00180B05" w:rsidRDefault="00FE5164" w:rsidP="00FE5164">
      <w:pPr>
        <w:spacing w:after="0" w:line="360" w:lineRule="auto"/>
        <w:ind w:left="720" w:hanging="720"/>
        <w:jc w:val="both"/>
        <w:outlineLvl w:val="0"/>
        <w:rPr>
          <w:rFonts w:ascii="Arial" w:eastAsia="Times New Roman" w:hAnsi="Arial" w:cs="Arial"/>
          <w:color w:val="000000" w:themeColor="text1"/>
          <w:sz w:val="24"/>
          <w:szCs w:val="24"/>
          <w:lang w:val="en-GB"/>
        </w:rPr>
      </w:pPr>
    </w:p>
    <w:p w:rsidR="00FE5164" w:rsidRPr="00180B05" w:rsidRDefault="00FE5164" w:rsidP="00FE5164">
      <w:pPr>
        <w:numPr>
          <w:ilvl w:val="0"/>
          <w:numId w:val="2"/>
        </w:numPr>
        <w:spacing w:after="0" w:line="360" w:lineRule="auto"/>
        <w:jc w:val="both"/>
        <w:outlineLvl w:val="0"/>
        <w:rPr>
          <w:rFonts w:ascii="Arial" w:eastAsia="Times New Roman" w:hAnsi="Arial" w:cs="Arial"/>
          <w:color w:val="000000" w:themeColor="text1"/>
          <w:sz w:val="24"/>
          <w:szCs w:val="24"/>
          <w:lang w:val="en-GB"/>
        </w:rPr>
      </w:pPr>
      <w:r w:rsidRPr="00180B05">
        <w:rPr>
          <w:rFonts w:ascii="Arial" w:eastAsia="Times New Roman" w:hAnsi="Arial" w:cs="Arial"/>
          <w:color w:val="000000" w:themeColor="text1"/>
          <w:sz w:val="24"/>
          <w:szCs w:val="24"/>
          <w:lang w:val="en-US"/>
        </w:rPr>
        <w:t xml:space="preserve">whether she will issue a circular to provincial departments responsible for cooperative governance and traditional affairs to clarify (a) the relationship between the Disciplinary Regulations for Local Government Senior Managers </w:t>
      </w:r>
      <w:r w:rsidRPr="00180B05">
        <w:rPr>
          <w:rFonts w:ascii="Arial" w:eastAsia="Times New Roman" w:hAnsi="Arial" w:cs="Arial"/>
          <w:color w:val="000000" w:themeColor="text1"/>
          <w:sz w:val="24"/>
          <w:szCs w:val="24"/>
          <w:lang w:val="en-US"/>
        </w:rPr>
        <w:lastRenderedPageBreak/>
        <w:t>based on the Local Government: Municipal Systems Act, Act 32 of 2000 and the Municipal Regulations on Financial Misconduct Procedures and Criminal Proceedings based on the Local Government: Municipal Finance Management Act, Act 56 of 2003, and (b) in which circumstances each is to be applied</w:t>
      </w:r>
      <w:r w:rsidRPr="00180B05">
        <w:rPr>
          <w:rFonts w:ascii="Arial" w:eastAsia="Times New Roman" w:hAnsi="Arial" w:cs="Arial"/>
          <w:color w:val="000000" w:themeColor="text1"/>
          <w:sz w:val="24"/>
          <w:szCs w:val="24"/>
          <w:lang w:val="en-GB"/>
        </w:rPr>
        <w:t>?</w:t>
      </w:r>
    </w:p>
    <w:p w:rsidR="00FE5164" w:rsidRPr="00180B05" w:rsidRDefault="00FE5164" w:rsidP="00FE5164">
      <w:pPr>
        <w:spacing w:after="0" w:line="360" w:lineRule="auto"/>
        <w:ind w:left="720" w:hanging="720"/>
        <w:jc w:val="both"/>
        <w:outlineLvl w:val="0"/>
        <w:rPr>
          <w:rFonts w:ascii="Arial" w:eastAsia="Times New Roman" w:hAnsi="Arial" w:cs="Arial"/>
          <w:color w:val="000000" w:themeColor="text1"/>
          <w:sz w:val="24"/>
          <w:szCs w:val="24"/>
          <w:lang w:val="en-GB"/>
        </w:rPr>
      </w:pPr>
      <w:r w:rsidRPr="00180B05">
        <w:rPr>
          <w:rFonts w:ascii="Arial" w:eastAsia="Times New Roman" w:hAnsi="Arial" w:cs="Arial"/>
          <w:color w:val="000000" w:themeColor="text1"/>
          <w:sz w:val="24"/>
          <w:szCs w:val="24"/>
        </w:rPr>
        <w:t>NW1460E</w:t>
      </w:r>
    </w:p>
    <w:p w:rsidR="00FE5164" w:rsidRPr="00180B05" w:rsidRDefault="00FE5164" w:rsidP="00FE5164">
      <w:pPr>
        <w:spacing w:after="0" w:line="360" w:lineRule="auto"/>
        <w:ind w:left="720" w:hanging="720"/>
        <w:jc w:val="both"/>
        <w:outlineLvl w:val="0"/>
        <w:rPr>
          <w:rFonts w:ascii="Arial" w:eastAsia="Times New Roman" w:hAnsi="Arial" w:cs="Arial"/>
          <w:color w:val="000000" w:themeColor="text1"/>
          <w:sz w:val="24"/>
          <w:szCs w:val="24"/>
          <w:lang w:val="en-GB"/>
        </w:rPr>
      </w:pPr>
    </w:p>
    <w:p w:rsidR="00FE5164" w:rsidRPr="00180B05" w:rsidRDefault="00FE5164" w:rsidP="00FE5164">
      <w:pPr>
        <w:spacing w:after="0" w:line="360" w:lineRule="auto"/>
        <w:ind w:left="720" w:hanging="720"/>
        <w:jc w:val="both"/>
        <w:outlineLvl w:val="0"/>
        <w:rPr>
          <w:rFonts w:ascii="Arial" w:eastAsia="Times New Roman" w:hAnsi="Arial" w:cs="Arial"/>
          <w:b/>
          <w:bCs/>
          <w:color w:val="000000" w:themeColor="text1"/>
          <w:sz w:val="24"/>
          <w:szCs w:val="24"/>
          <w:lang w:val="en-GB"/>
        </w:rPr>
      </w:pPr>
      <w:r w:rsidRPr="00180B05">
        <w:rPr>
          <w:rFonts w:ascii="Arial" w:eastAsia="Times New Roman" w:hAnsi="Arial" w:cs="Arial"/>
          <w:b/>
          <w:bCs/>
          <w:color w:val="000000" w:themeColor="text1"/>
          <w:sz w:val="24"/>
          <w:szCs w:val="24"/>
          <w:lang w:val="en-GB"/>
        </w:rPr>
        <w:t>Reply:</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p>
    <w:p w:rsidR="00FE5164" w:rsidRPr="00180B05" w:rsidRDefault="00FE5164" w:rsidP="00FE5164">
      <w:pPr>
        <w:numPr>
          <w:ilvl w:val="0"/>
          <w:numId w:val="6"/>
        </w:numPr>
        <w:spacing w:after="0" w:line="360" w:lineRule="auto"/>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(a)</w:t>
      </w:r>
      <w:r w:rsidRPr="00180B05">
        <w:rPr>
          <w:rFonts w:ascii="Arial" w:eastAsia="Times New Roman" w:hAnsi="Arial" w:cs="Arial"/>
          <w:bCs/>
          <w:color w:val="000000" w:themeColor="text1"/>
          <w:sz w:val="24"/>
          <w:szCs w:val="24"/>
          <w:lang w:val="en-GB"/>
        </w:rPr>
        <w:tab/>
        <w:t xml:space="preserve">Regulations 5 and 6 of the Municipal </w:t>
      </w:r>
      <w:r w:rsidRPr="00180B05">
        <w:rPr>
          <w:rFonts w:ascii="Arial" w:eastAsia="Times New Roman" w:hAnsi="Arial" w:cs="Arial"/>
          <w:bCs/>
          <w:color w:val="000000" w:themeColor="text1"/>
          <w:sz w:val="24"/>
          <w:szCs w:val="24"/>
          <w:lang w:val="en-US"/>
        </w:rPr>
        <w:t>Regulations on Financial Misconduct Procedures and Criminal Proceedings</w:t>
      </w:r>
      <w:r w:rsidRPr="00180B05">
        <w:rPr>
          <w:rFonts w:ascii="Arial" w:eastAsia="Times New Roman" w:hAnsi="Arial" w:cs="Arial"/>
          <w:bCs/>
          <w:color w:val="000000" w:themeColor="text1"/>
          <w:sz w:val="24"/>
          <w:szCs w:val="24"/>
          <w:lang w:val="en-GB"/>
        </w:rPr>
        <w:t xml:space="preserve"> (“Municipal Financial Misconduct Regulations”)prescribe that the following processes be followed by a municipal council when investigating allegations of financial misconduct against a municipal manager:</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w:t>
      </w:r>
      <w:proofErr w:type="spellStart"/>
      <w:r w:rsidRPr="00180B05">
        <w:rPr>
          <w:rFonts w:ascii="Arial" w:eastAsia="Times New Roman" w:hAnsi="Arial" w:cs="Arial"/>
          <w:bCs/>
          <w:color w:val="000000" w:themeColor="text1"/>
          <w:sz w:val="24"/>
          <w:szCs w:val="24"/>
          <w:lang w:val="en-GB"/>
        </w:rPr>
        <w:t>i</w:t>
      </w:r>
      <w:proofErr w:type="spellEnd"/>
      <w:r w:rsidRPr="00180B05">
        <w:rPr>
          <w:rFonts w:ascii="Arial" w:eastAsia="Times New Roman" w:hAnsi="Arial" w:cs="Arial"/>
          <w:bCs/>
          <w:color w:val="000000" w:themeColor="text1"/>
          <w:sz w:val="24"/>
          <w:szCs w:val="24"/>
          <w:lang w:val="en-GB"/>
        </w:rPr>
        <w:t>)</w:t>
      </w:r>
      <w:r w:rsidRPr="00180B05">
        <w:rPr>
          <w:rFonts w:ascii="Arial" w:eastAsia="Times New Roman" w:hAnsi="Arial" w:cs="Arial"/>
          <w:bCs/>
          <w:color w:val="000000" w:themeColor="text1"/>
          <w:sz w:val="24"/>
          <w:szCs w:val="24"/>
          <w:lang w:val="en-GB"/>
        </w:rPr>
        <w:tab/>
        <w:t>A municipality or municipal entity must develop terms of reference for an investigation within seven days of receipt of a referral from a disciplinary board for approval by council or board of directors.</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(ii)</w:t>
      </w:r>
      <w:r w:rsidRPr="00180B05">
        <w:rPr>
          <w:rFonts w:ascii="Arial" w:eastAsia="Times New Roman" w:hAnsi="Arial" w:cs="Arial"/>
          <w:bCs/>
          <w:color w:val="000000" w:themeColor="text1"/>
          <w:sz w:val="24"/>
          <w:szCs w:val="24"/>
          <w:lang w:val="en-GB"/>
        </w:rPr>
        <w:tab/>
        <w:t>A disciplinary board must conduct a preliminary investigation to determine whether or not the allegation is founded and make a recommendation to council or board of directors as to whether sufficient grounds exists to warrant a full investigation into the allegation.</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(iii)</w:t>
      </w:r>
      <w:r w:rsidRPr="00180B05">
        <w:rPr>
          <w:rFonts w:ascii="Arial" w:eastAsia="Times New Roman" w:hAnsi="Arial" w:cs="Arial"/>
          <w:bCs/>
          <w:color w:val="000000" w:themeColor="text1"/>
          <w:sz w:val="24"/>
          <w:szCs w:val="24"/>
          <w:lang w:val="en-GB"/>
        </w:rPr>
        <w:tab/>
        <w:t>If the disciplinary board determines that the allegation is founded, a full investigation must be conducted by:</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p>
    <w:p w:rsidR="00FE5164" w:rsidRPr="00180B05" w:rsidRDefault="00FE5164" w:rsidP="00FE5164">
      <w:pPr>
        <w:numPr>
          <w:ilvl w:val="0"/>
          <w:numId w:val="3"/>
        </w:numPr>
        <w:spacing w:after="0" w:line="360" w:lineRule="auto"/>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disciplinary board;</w:t>
      </w:r>
    </w:p>
    <w:p w:rsidR="00FE5164" w:rsidRPr="00180B05" w:rsidRDefault="00FE5164" w:rsidP="00FE5164">
      <w:pPr>
        <w:numPr>
          <w:ilvl w:val="0"/>
          <w:numId w:val="3"/>
        </w:numPr>
        <w:spacing w:after="0" w:line="360" w:lineRule="auto"/>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provincial or national treasury;</w:t>
      </w:r>
    </w:p>
    <w:p w:rsidR="00FE5164" w:rsidRPr="00180B05" w:rsidRDefault="00FE5164" w:rsidP="00FE5164">
      <w:pPr>
        <w:numPr>
          <w:ilvl w:val="0"/>
          <w:numId w:val="3"/>
        </w:numPr>
        <w:spacing w:after="0" w:line="360" w:lineRule="auto"/>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appropriate specialist expertise and who is not an official of the municipality or municipal entity; or</w:t>
      </w:r>
    </w:p>
    <w:p w:rsidR="00FE5164" w:rsidRPr="00180B05" w:rsidRDefault="00FE5164" w:rsidP="00FE5164">
      <w:pPr>
        <w:numPr>
          <w:ilvl w:val="0"/>
          <w:numId w:val="3"/>
        </w:numPr>
        <w:spacing w:after="0" w:line="360" w:lineRule="auto"/>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an independent team of investigators appointed by council or board of directors</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p>
    <w:p w:rsidR="00FE5164" w:rsidRPr="00180B05" w:rsidRDefault="00FE5164" w:rsidP="00FE5164">
      <w:pPr>
        <w:spacing w:after="0" w:line="360" w:lineRule="auto"/>
        <w:ind w:left="720" w:hanging="720"/>
        <w:jc w:val="both"/>
        <w:outlineLvl w:val="0"/>
        <w:rPr>
          <w:rFonts w:ascii="Arial" w:eastAsia="Times New Roman" w:hAnsi="Arial" w:cs="Arial"/>
          <w:color w:val="000000" w:themeColor="text1"/>
          <w:sz w:val="24"/>
          <w:szCs w:val="24"/>
          <w:lang w:val="en-GB"/>
        </w:rPr>
      </w:pPr>
      <w:proofErr w:type="gramStart"/>
      <w:r w:rsidRPr="00180B05">
        <w:rPr>
          <w:rFonts w:ascii="Arial" w:eastAsia="Times New Roman" w:hAnsi="Arial" w:cs="Arial"/>
          <w:color w:val="000000" w:themeColor="text1"/>
          <w:sz w:val="24"/>
          <w:szCs w:val="24"/>
          <w:lang w:val="en-GB"/>
        </w:rPr>
        <w:lastRenderedPageBreak/>
        <w:t>(iv)</w:t>
      </w:r>
      <w:r w:rsidRPr="00180B05">
        <w:rPr>
          <w:rFonts w:ascii="Arial" w:eastAsia="Times New Roman" w:hAnsi="Arial" w:cs="Arial"/>
          <w:color w:val="000000" w:themeColor="text1"/>
          <w:sz w:val="24"/>
          <w:szCs w:val="24"/>
          <w:lang w:val="en-GB"/>
        </w:rPr>
        <w:tab/>
        <w:t>After</w:t>
      </w:r>
      <w:proofErr w:type="gramEnd"/>
      <w:r w:rsidRPr="00180B05">
        <w:rPr>
          <w:rFonts w:ascii="Arial" w:eastAsia="Times New Roman" w:hAnsi="Arial" w:cs="Arial"/>
          <w:color w:val="000000" w:themeColor="text1"/>
          <w:sz w:val="24"/>
          <w:szCs w:val="24"/>
          <w:lang w:val="en-GB"/>
        </w:rPr>
        <w:t xml:space="preserve"> completion of a full investigation, the investigator must:</w:t>
      </w:r>
    </w:p>
    <w:p w:rsidR="00FE5164" w:rsidRPr="00180B05" w:rsidRDefault="00FE5164" w:rsidP="00FE5164">
      <w:pPr>
        <w:spacing w:after="0" w:line="360" w:lineRule="auto"/>
        <w:ind w:left="720" w:hanging="720"/>
        <w:jc w:val="both"/>
        <w:outlineLvl w:val="0"/>
        <w:rPr>
          <w:rFonts w:ascii="Arial" w:eastAsia="Times New Roman" w:hAnsi="Arial" w:cs="Arial"/>
          <w:color w:val="000000" w:themeColor="text1"/>
          <w:sz w:val="24"/>
          <w:szCs w:val="24"/>
          <w:lang w:val="en-GB"/>
        </w:rPr>
      </w:pPr>
    </w:p>
    <w:p w:rsidR="00FE5164" w:rsidRPr="00180B05" w:rsidRDefault="00FE5164" w:rsidP="00FE5164">
      <w:pPr>
        <w:numPr>
          <w:ilvl w:val="0"/>
          <w:numId w:val="4"/>
        </w:numPr>
        <w:spacing w:after="0" w:line="360" w:lineRule="auto"/>
        <w:jc w:val="both"/>
        <w:outlineLvl w:val="0"/>
        <w:rPr>
          <w:rFonts w:ascii="Arial" w:eastAsia="Times New Roman" w:hAnsi="Arial" w:cs="Arial"/>
          <w:bCs/>
          <w:color w:val="000000" w:themeColor="text1"/>
          <w:sz w:val="24"/>
          <w:szCs w:val="24"/>
          <w:lang w:val="en-GB"/>
        </w:rPr>
      </w:pPr>
      <w:proofErr w:type="gramStart"/>
      <w:r w:rsidRPr="00180B05">
        <w:rPr>
          <w:rFonts w:ascii="Arial" w:eastAsia="Times New Roman" w:hAnsi="Arial" w:cs="Arial"/>
          <w:bCs/>
          <w:color w:val="000000" w:themeColor="text1"/>
          <w:sz w:val="24"/>
          <w:szCs w:val="24"/>
          <w:lang w:val="en-GB"/>
        </w:rPr>
        <w:t>compile</w:t>
      </w:r>
      <w:proofErr w:type="gramEnd"/>
      <w:r w:rsidRPr="00180B05">
        <w:rPr>
          <w:rFonts w:ascii="Arial" w:eastAsia="Times New Roman" w:hAnsi="Arial" w:cs="Arial"/>
          <w:bCs/>
          <w:color w:val="000000" w:themeColor="text1"/>
          <w:sz w:val="24"/>
          <w:szCs w:val="24"/>
          <w:lang w:val="en-GB"/>
        </w:rPr>
        <w:t xml:space="preserve"> a report on the investigation.</w:t>
      </w:r>
    </w:p>
    <w:p w:rsidR="00FE5164" w:rsidRPr="00180B05" w:rsidRDefault="00FE5164" w:rsidP="00FE5164">
      <w:pPr>
        <w:numPr>
          <w:ilvl w:val="0"/>
          <w:numId w:val="4"/>
        </w:numPr>
        <w:spacing w:after="0" w:line="360" w:lineRule="auto"/>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submit a report to the mayor or chairperson of the board of directors and the accounting officer together with its findings and recommendations regarding disciplinary steps that should be taken against the alleged transgressors, if applicable; and</w:t>
      </w:r>
    </w:p>
    <w:p w:rsidR="00FE5164" w:rsidRPr="00180B05" w:rsidRDefault="00FE5164" w:rsidP="00FE5164">
      <w:pPr>
        <w:numPr>
          <w:ilvl w:val="0"/>
          <w:numId w:val="4"/>
        </w:numPr>
        <w:spacing w:after="0" w:line="360" w:lineRule="auto"/>
        <w:jc w:val="both"/>
        <w:outlineLvl w:val="0"/>
        <w:rPr>
          <w:rFonts w:ascii="Arial" w:eastAsia="Times New Roman" w:hAnsi="Arial" w:cs="Arial"/>
          <w:bCs/>
          <w:color w:val="000000" w:themeColor="text1"/>
          <w:sz w:val="24"/>
          <w:szCs w:val="24"/>
          <w:lang w:val="en-GB"/>
        </w:rPr>
      </w:pPr>
      <w:proofErr w:type="gramStart"/>
      <w:r w:rsidRPr="00180B05">
        <w:rPr>
          <w:rFonts w:ascii="Arial" w:eastAsia="Times New Roman" w:hAnsi="Arial" w:cs="Arial"/>
          <w:bCs/>
          <w:color w:val="000000" w:themeColor="text1"/>
          <w:sz w:val="24"/>
          <w:szCs w:val="24"/>
          <w:lang w:val="en-GB"/>
        </w:rPr>
        <w:t>immediately</w:t>
      </w:r>
      <w:proofErr w:type="gramEnd"/>
      <w:r w:rsidRPr="00180B05">
        <w:rPr>
          <w:rFonts w:ascii="Arial" w:eastAsia="Times New Roman" w:hAnsi="Arial" w:cs="Arial"/>
          <w:bCs/>
          <w:color w:val="000000" w:themeColor="text1"/>
          <w:sz w:val="24"/>
          <w:szCs w:val="24"/>
          <w:lang w:val="en-GB"/>
        </w:rPr>
        <w:t xml:space="preserve"> inform the speaker of council of the submission of the report and submit a copy of the report to the provincial treasury and the national treasury.</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(v)</w:t>
      </w:r>
      <w:r w:rsidRPr="00180B05">
        <w:rPr>
          <w:rFonts w:ascii="Arial" w:eastAsia="Times New Roman" w:hAnsi="Arial" w:cs="Arial"/>
          <w:bCs/>
          <w:color w:val="000000" w:themeColor="text1"/>
          <w:sz w:val="24"/>
          <w:szCs w:val="24"/>
          <w:lang w:val="en-GB"/>
        </w:rPr>
        <w:tab/>
        <w:t>The mayor, speaker, accounting officer or chairperson of the board of directors must table the report of the investigation to council or board of directors at the first sitting after the report is finalised.</w:t>
      </w:r>
    </w:p>
    <w:p w:rsidR="00FE5164" w:rsidRPr="00180B05" w:rsidRDefault="00FE5164" w:rsidP="00FE5164">
      <w:pPr>
        <w:spacing w:after="0" w:line="360" w:lineRule="auto"/>
        <w:ind w:left="720" w:hanging="720"/>
        <w:jc w:val="both"/>
        <w:outlineLvl w:val="0"/>
        <w:rPr>
          <w:rFonts w:ascii="Arial" w:eastAsia="Times New Roman" w:hAnsi="Arial" w:cs="Arial"/>
          <w:color w:val="000000" w:themeColor="text1"/>
          <w:sz w:val="24"/>
          <w:szCs w:val="24"/>
          <w:lang w:val="en-GB"/>
        </w:rPr>
      </w:pPr>
      <w:proofErr w:type="gramStart"/>
      <w:r w:rsidRPr="00180B05">
        <w:rPr>
          <w:rFonts w:ascii="Arial" w:eastAsia="Times New Roman" w:hAnsi="Arial" w:cs="Arial"/>
          <w:bCs/>
          <w:color w:val="000000" w:themeColor="text1"/>
          <w:sz w:val="24"/>
          <w:szCs w:val="24"/>
          <w:lang w:val="en-GB"/>
        </w:rPr>
        <w:t>(vi)</w:t>
      </w:r>
      <w:r w:rsidRPr="00180B05">
        <w:rPr>
          <w:rFonts w:ascii="Arial" w:eastAsia="Times New Roman" w:hAnsi="Arial" w:cs="Arial"/>
          <w:bCs/>
          <w:color w:val="000000" w:themeColor="text1"/>
          <w:sz w:val="24"/>
          <w:szCs w:val="24"/>
          <w:lang w:val="en-GB"/>
        </w:rPr>
        <w:tab/>
      </w:r>
      <w:r w:rsidRPr="00180B05">
        <w:rPr>
          <w:rFonts w:ascii="Arial" w:eastAsia="Times New Roman" w:hAnsi="Arial" w:cs="Arial"/>
          <w:color w:val="000000" w:themeColor="text1"/>
          <w:sz w:val="24"/>
          <w:szCs w:val="24"/>
          <w:lang w:val="en-GB"/>
        </w:rPr>
        <w:t>If</w:t>
      </w:r>
      <w:proofErr w:type="gramEnd"/>
      <w:r w:rsidRPr="00180B05">
        <w:rPr>
          <w:rFonts w:ascii="Arial" w:eastAsia="Times New Roman" w:hAnsi="Arial" w:cs="Arial"/>
          <w:color w:val="000000" w:themeColor="text1"/>
          <w:sz w:val="24"/>
          <w:szCs w:val="24"/>
          <w:lang w:val="en-GB"/>
        </w:rPr>
        <w:t xml:space="preserve"> the report that is tabled before council or board is amended, the person tabling the report must provide written reasons for the amendments to council or board.</w:t>
      </w:r>
    </w:p>
    <w:p w:rsidR="00FE5164" w:rsidRPr="00180B05" w:rsidRDefault="00FE5164" w:rsidP="00FE5164">
      <w:pPr>
        <w:spacing w:after="0" w:line="360" w:lineRule="auto"/>
        <w:ind w:left="720" w:hanging="720"/>
        <w:jc w:val="both"/>
        <w:outlineLvl w:val="0"/>
        <w:rPr>
          <w:rFonts w:ascii="Arial" w:eastAsia="Times New Roman" w:hAnsi="Arial" w:cs="Arial"/>
          <w:color w:val="000000" w:themeColor="text1"/>
          <w:sz w:val="24"/>
          <w:szCs w:val="24"/>
          <w:lang w:val="en-GB"/>
        </w:rPr>
      </w:pPr>
      <w:r w:rsidRPr="00180B05">
        <w:rPr>
          <w:rFonts w:ascii="Arial" w:eastAsia="Times New Roman" w:hAnsi="Arial" w:cs="Arial"/>
          <w:bCs/>
          <w:color w:val="000000" w:themeColor="text1"/>
          <w:sz w:val="24"/>
          <w:szCs w:val="24"/>
          <w:lang w:val="en-GB"/>
        </w:rPr>
        <w:t>(vii)</w:t>
      </w:r>
      <w:r w:rsidRPr="00180B05">
        <w:rPr>
          <w:rFonts w:ascii="Arial" w:eastAsia="Times New Roman" w:hAnsi="Arial" w:cs="Arial"/>
          <w:bCs/>
          <w:color w:val="000000" w:themeColor="text1"/>
          <w:sz w:val="24"/>
          <w:szCs w:val="24"/>
          <w:lang w:val="en-GB"/>
        </w:rPr>
        <w:tab/>
        <w:t>If the findings or recommendations of the report are rejected by council or board, reasons for rejection must be provided to the investigator within five days of rejection.</w:t>
      </w:r>
    </w:p>
    <w:p w:rsidR="00FE5164" w:rsidRPr="00180B05" w:rsidRDefault="00FE5164" w:rsidP="00FE5164">
      <w:pPr>
        <w:numPr>
          <w:ilvl w:val="0"/>
          <w:numId w:val="5"/>
        </w:numPr>
        <w:spacing w:after="0" w:line="360" w:lineRule="auto"/>
        <w:jc w:val="both"/>
        <w:outlineLvl w:val="0"/>
        <w:rPr>
          <w:rFonts w:ascii="Arial" w:eastAsia="Times New Roman" w:hAnsi="Arial" w:cs="Arial"/>
          <w:color w:val="000000" w:themeColor="text1"/>
          <w:sz w:val="24"/>
          <w:szCs w:val="24"/>
          <w:lang w:val="en-GB"/>
        </w:rPr>
      </w:pPr>
      <w:r w:rsidRPr="00180B05">
        <w:rPr>
          <w:rFonts w:ascii="Arial" w:eastAsia="Times New Roman" w:hAnsi="Arial" w:cs="Arial"/>
          <w:bCs/>
          <w:color w:val="000000" w:themeColor="text1"/>
          <w:sz w:val="24"/>
          <w:szCs w:val="24"/>
          <w:lang w:val="en-GB"/>
        </w:rPr>
        <w:t>Where the recommendations of the report regarding disciplinary steps against the alleged transgressors are not implemented, the investigator must notify the provincial treasury and the national treasury for a possible intervention in terms of regulation 19 of the Municipal Financial Misconduct Regulations.</w:t>
      </w:r>
    </w:p>
    <w:p w:rsidR="00FE5164" w:rsidRPr="00180B05" w:rsidRDefault="00FE5164" w:rsidP="00FE5164">
      <w:pPr>
        <w:numPr>
          <w:ilvl w:val="0"/>
          <w:numId w:val="5"/>
        </w:numPr>
        <w:spacing w:after="0" w:line="360" w:lineRule="auto"/>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If the investigator recommends that disciplinary proceedings be instituted against the alleged transgressor, council or board of directors must by way of resolution institute the disciplinary proceedings.</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p>
    <w:p w:rsidR="00FE5164" w:rsidRPr="00180B05" w:rsidRDefault="00FE5164" w:rsidP="00FE5164">
      <w:pPr>
        <w:spacing w:after="0" w:line="360" w:lineRule="auto"/>
        <w:ind w:left="720" w:hanging="720"/>
        <w:jc w:val="both"/>
        <w:outlineLvl w:val="0"/>
        <w:rPr>
          <w:rFonts w:ascii="Arial" w:eastAsia="Times New Roman" w:hAnsi="Arial" w:cs="Arial"/>
          <w:color w:val="000000" w:themeColor="text1"/>
          <w:sz w:val="24"/>
          <w:szCs w:val="24"/>
          <w:lang w:val="en-US"/>
        </w:rPr>
      </w:pPr>
      <w:r w:rsidRPr="00180B05">
        <w:rPr>
          <w:rFonts w:ascii="Arial" w:eastAsia="Times New Roman" w:hAnsi="Arial" w:cs="Arial"/>
          <w:bCs/>
          <w:color w:val="000000" w:themeColor="text1"/>
          <w:sz w:val="24"/>
          <w:szCs w:val="24"/>
          <w:lang w:val="en-GB"/>
        </w:rPr>
        <w:lastRenderedPageBreak/>
        <w:t>(b)</w:t>
      </w:r>
      <w:r w:rsidRPr="00180B05">
        <w:rPr>
          <w:rFonts w:ascii="Arial" w:eastAsia="Times New Roman" w:hAnsi="Arial" w:cs="Arial"/>
          <w:bCs/>
          <w:color w:val="000000" w:themeColor="text1"/>
          <w:sz w:val="24"/>
          <w:szCs w:val="24"/>
          <w:lang w:val="en-GB"/>
        </w:rPr>
        <w:tab/>
        <w:t>The provisions as contained in the Municipal Financial Misconduct Regulations made in terms of the Municipal Finance Management Act, 2003 take precedent in relation to investigations of serious financial misconduct.</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r w:rsidRPr="00180B05">
        <w:rPr>
          <w:rFonts w:ascii="Arial" w:eastAsia="Times New Roman" w:hAnsi="Arial" w:cs="Arial"/>
          <w:bCs/>
          <w:color w:val="000000" w:themeColor="text1"/>
          <w:sz w:val="24"/>
          <w:szCs w:val="24"/>
          <w:lang w:val="en-GB"/>
        </w:rPr>
        <w:t>2.</w:t>
      </w:r>
      <w:r w:rsidRPr="00180B05">
        <w:rPr>
          <w:rFonts w:ascii="Arial" w:eastAsia="Times New Roman" w:hAnsi="Arial" w:cs="Arial"/>
          <w:bCs/>
          <w:color w:val="000000" w:themeColor="text1"/>
          <w:sz w:val="24"/>
          <w:szCs w:val="24"/>
          <w:lang w:val="en-GB"/>
        </w:rPr>
        <w:tab/>
        <w:t>(</w:t>
      </w:r>
      <w:proofErr w:type="gramStart"/>
      <w:r w:rsidRPr="00180B05">
        <w:rPr>
          <w:rFonts w:ascii="Arial" w:eastAsia="Times New Roman" w:hAnsi="Arial" w:cs="Arial"/>
          <w:bCs/>
          <w:color w:val="000000" w:themeColor="text1"/>
          <w:sz w:val="24"/>
          <w:szCs w:val="24"/>
          <w:lang w:val="en-GB"/>
        </w:rPr>
        <w:t>a</w:t>
      </w:r>
      <w:proofErr w:type="gramEnd"/>
      <w:r w:rsidRPr="00180B05">
        <w:rPr>
          <w:rFonts w:ascii="Arial" w:eastAsia="Times New Roman" w:hAnsi="Arial" w:cs="Arial"/>
          <w:bCs/>
          <w:color w:val="000000" w:themeColor="text1"/>
          <w:sz w:val="24"/>
          <w:szCs w:val="24"/>
          <w:lang w:val="en-GB"/>
        </w:rPr>
        <w:t>)</w:t>
      </w:r>
      <w:r w:rsidRPr="00180B05">
        <w:rPr>
          <w:rFonts w:ascii="Arial" w:eastAsia="Times New Roman" w:hAnsi="Arial" w:cs="Arial"/>
          <w:bCs/>
          <w:color w:val="000000" w:themeColor="text1"/>
          <w:sz w:val="24"/>
          <w:szCs w:val="24"/>
          <w:lang w:val="en-GB"/>
        </w:rPr>
        <w:tab/>
        <w:t xml:space="preserve">No. The Municipal Systems Act </w:t>
      </w:r>
      <w:r w:rsidRPr="00180B05">
        <w:rPr>
          <w:rFonts w:ascii="Arial" w:eastAsia="Times New Roman" w:hAnsi="Arial" w:cs="Arial"/>
          <w:bCs/>
          <w:color w:val="000000" w:themeColor="text1"/>
          <w:sz w:val="24"/>
          <w:szCs w:val="24"/>
          <w:lang w:val="en-US"/>
        </w:rPr>
        <w:t xml:space="preserve">Disciplinary Regulations and the Municipal Finance Management Act </w:t>
      </w:r>
      <w:r w:rsidRPr="00180B05">
        <w:rPr>
          <w:rFonts w:ascii="Arial" w:eastAsia="Times New Roman" w:hAnsi="Arial" w:cs="Arial"/>
          <w:bCs/>
          <w:color w:val="000000" w:themeColor="text1"/>
          <w:sz w:val="24"/>
          <w:szCs w:val="24"/>
          <w:lang w:val="en-GB"/>
        </w:rPr>
        <w:t>Municipal Financial Misconduct Regulationswere enacted into law following comprehensive consultations with the provincial treasuries, provincial departments responsible for local government and municipalities and therefore there is no evidence that municipalities confuse the relationship between the two set of regulations.</w:t>
      </w: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GB"/>
        </w:rPr>
      </w:pPr>
    </w:p>
    <w:p w:rsidR="00FE5164" w:rsidRPr="00180B05" w:rsidRDefault="00FE5164" w:rsidP="00FE5164">
      <w:pPr>
        <w:spacing w:after="0" w:line="360" w:lineRule="auto"/>
        <w:ind w:left="720" w:hanging="720"/>
        <w:jc w:val="both"/>
        <w:outlineLvl w:val="0"/>
        <w:rPr>
          <w:rFonts w:ascii="Arial" w:eastAsia="Times New Roman" w:hAnsi="Arial" w:cs="Arial"/>
          <w:bCs/>
          <w:color w:val="000000" w:themeColor="text1"/>
          <w:sz w:val="24"/>
          <w:szCs w:val="24"/>
          <w:lang w:val="en-US"/>
        </w:rPr>
      </w:pPr>
      <w:r w:rsidRPr="00180B05">
        <w:rPr>
          <w:rFonts w:ascii="Arial" w:eastAsia="Times New Roman" w:hAnsi="Arial" w:cs="Arial"/>
          <w:bCs/>
          <w:color w:val="000000" w:themeColor="text1"/>
          <w:sz w:val="24"/>
          <w:szCs w:val="24"/>
          <w:lang w:val="en-GB"/>
        </w:rPr>
        <w:t>(b)</w:t>
      </w:r>
      <w:r w:rsidRPr="00180B05">
        <w:rPr>
          <w:rFonts w:ascii="Arial" w:eastAsia="Times New Roman" w:hAnsi="Arial" w:cs="Arial"/>
          <w:bCs/>
          <w:color w:val="000000" w:themeColor="text1"/>
          <w:sz w:val="24"/>
          <w:szCs w:val="24"/>
          <w:lang w:val="en-GB"/>
        </w:rPr>
        <w:tab/>
        <w:t xml:space="preserve">The </w:t>
      </w:r>
      <w:r w:rsidRPr="00180B05">
        <w:rPr>
          <w:rFonts w:ascii="Arial" w:eastAsia="Times New Roman" w:hAnsi="Arial" w:cs="Arial"/>
          <w:bCs/>
          <w:color w:val="000000" w:themeColor="text1"/>
          <w:sz w:val="24"/>
          <w:szCs w:val="24"/>
          <w:lang w:val="en-US"/>
        </w:rPr>
        <w:t xml:space="preserve">Municipal Financial </w:t>
      </w:r>
      <w:r w:rsidRPr="00180B05">
        <w:rPr>
          <w:rFonts w:ascii="Arial" w:eastAsia="Times New Roman" w:hAnsi="Arial" w:cs="Arial"/>
          <w:bCs/>
          <w:color w:val="000000" w:themeColor="text1"/>
          <w:sz w:val="24"/>
          <w:szCs w:val="24"/>
          <w:lang w:val="en-GB"/>
        </w:rPr>
        <w:t xml:space="preserve">Misconduct Regulations deals with reporting and investigation of financial misconduct, including criminal offences while the Municipal Systems Act </w:t>
      </w:r>
      <w:r w:rsidRPr="00180B05">
        <w:rPr>
          <w:rFonts w:ascii="Arial" w:eastAsia="Times New Roman" w:hAnsi="Arial" w:cs="Arial"/>
          <w:bCs/>
          <w:color w:val="000000" w:themeColor="text1"/>
          <w:sz w:val="24"/>
          <w:szCs w:val="24"/>
          <w:lang w:val="en-US"/>
        </w:rPr>
        <w:t>Disciplinary Regulations prescribe procedures for the institution of disciplinary proceedings against municipal managers. Therefore, the two set of regulations are complementary and applied concurrently to the extent required.</w:t>
      </w:r>
    </w:p>
    <w:p w:rsidR="00FE5164" w:rsidRPr="00180B05" w:rsidRDefault="00FE5164" w:rsidP="00FE5164">
      <w:pPr>
        <w:spacing w:after="0" w:line="360" w:lineRule="auto"/>
        <w:ind w:left="720" w:hanging="720"/>
        <w:jc w:val="both"/>
        <w:outlineLvl w:val="0"/>
        <w:rPr>
          <w:rFonts w:ascii="Arial" w:eastAsia="Times New Roman" w:hAnsi="Arial" w:cs="Arial"/>
          <w:b/>
          <w:bCs/>
          <w:color w:val="000000" w:themeColor="text1"/>
          <w:sz w:val="24"/>
          <w:szCs w:val="24"/>
          <w:lang w:val="en-GB"/>
        </w:rPr>
      </w:pPr>
      <w:r w:rsidRPr="00180B05">
        <w:rPr>
          <w:rFonts w:ascii="Arial" w:eastAsia="Times New Roman" w:hAnsi="Arial" w:cs="Arial"/>
          <w:b/>
          <w:bCs/>
          <w:color w:val="000000" w:themeColor="text1"/>
          <w:sz w:val="24"/>
          <w:szCs w:val="24"/>
          <w:lang w:val="en-GB"/>
        </w:rPr>
        <w:t xml:space="preserve">End. </w:t>
      </w:r>
    </w:p>
    <w:p w:rsidR="0028184E" w:rsidRDefault="0028184E"/>
    <w:sectPr w:rsidR="0028184E" w:rsidSect="00065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589"/>
    <w:multiLevelType w:val="hybridMultilevel"/>
    <w:tmpl w:val="ECAC4830"/>
    <w:lvl w:ilvl="0" w:tplc="2EF24D7C">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15187DDE"/>
    <w:multiLevelType w:val="hybridMultilevel"/>
    <w:tmpl w:val="AAB2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85301D0"/>
    <w:multiLevelType w:val="hybridMultilevel"/>
    <w:tmpl w:val="49EC795A"/>
    <w:lvl w:ilvl="0" w:tplc="B664A466">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4FAD6D0D"/>
    <w:multiLevelType w:val="hybridMultilevel"/>
    <w:tmpl w:val="63D8C896"/>
    <w:lvl w:ilvl="0" w:tplc="BBC06644">
      <w:start w:val="8"/>
      <w:numFmt w:val="lowerRoman"/>
      <w:lvlText w:val="(%1)"/>
      <w:lvlJc w:val="left"/>
      <w:pPr>
        <w:ind w:left="2160" w:hanging="72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B454F42"/>
    <w:multiLevelType w:val="hybridMultilevel"/>
    <w:tmpl w:val="F078E676"/>
    <w:lvl w:ilvl="0" w:tplc="9EF23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70F"/>
    <w:rsid w:val="0006562E"/>
    <w:rsid w:val="0028184E"/>
    <w:rsid w:val="005168F1"/>
    <w:rsid w:val="0052070F"/>
    <w:rsid w:val="00FE51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6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2070F"/>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2070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1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F1"/>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vt:lpstr>
      <vt:lpstr/>
      <vt:lpstr>◙1289. Mr C Brink (DA) to ask the Minister of Cooperative Governance and Traditi</vt:lpstr>
      <vt:lpstr>Whether, since her reply to question 468 on 16 September 2019, she has made any </vt:lpstr>
      <vt:lpstr/>
      <vt:lpstr>QUESTION NUMBER 468 of 2019</vt:lpstr>
      <vt:lpstr>468. Mr C Brink (DA) to ask the Minister of Cooperative Governance and Tradition</vt:lpstr>
      <vt:lpstr>(a) What are the details of the process that needs to be followed by any municip</vt:lpstr>
      <vt:lpstr/>
      <vt:lpstr>whether she will issue a circular to provincial departments responsible for coop</vt:lpstr>
      <vt:lpstr>NW1460E</vt:lpstr>
      <vt:lpstr/>
      <vt:lpstr>Reply:</vt:lpstr>
      <vt:lpstr/>
      <vt:lpstr>(a)	Regulations 5 and 6 of the Municipal Regulations on Financial Misconduct Pro</vt:lpstr>
      <vt:lpstr/>
      <vt:lpstr>(i)	A municipality or municipal entity must develop terms of reference for an in</vt:lpstr>
      <vt:lpstr>(ii)	A disciplinary board must conduct a preliminary investigation to determine </vt:lpstr>
      <vt:lpstr>(iii)	If the disciplinary board determines that the allegation is founded, a ful</vt:lpstr>
      <vt:lpstr/>
      <vt:lpstr>disciplinary board;</vt:lpstr>
      <vt:lpstr>provincial or national treasury;</vt:lpstr>
      <vt:lpstr>appropriate specialist expertise and who is not an official of the municipality </vt:lpstr>
      <vt:lpstr>an independent team of investigators appointed by council or board of directors</vt:lpstr>
      <vt:lpstr/>
      <vt:lpstr>(iv)	After completion of a full investigation, the investigator must:</vt:lpstr>
      <vt:lpstr/>
      <vt:lpstr>compile a report on the investigation.</vt:lpstr>
      <vt:lpstr>submit a report to the mayor or chairperson of the board of directors and the ac</vt:lpstr>
      <vt:lpstr>immediately inform the speaker of council of the submission of the report and su</vt:lpstr>
      <vt:lpstr/>
      <vt:lpstr>(v)	The mayor, speaker, accounting officer or chairperson of the board of direct</vt:lpstr>
      <vt:lpstr>(vi)	If the report that is tabled before council or board is amended, the person</vt:lpstr>
      <vt:lpstr>(vii)	If the findings or recommendations of the report are rejected by council o</vt:lpstr>
      <vt:lpstr>Where the recommendations of the report regarding disciplinary steps against the</vt:lpstr>
      <vt:lpstr>If the investigator recommends that disciplinary proceedings be instituted again</vt:lpstr>
      <vt:lpstr/>
      <vt:lpstr>(b)	The provisions as contained in the Municipal Financial Misconduct Regulation</vt:lpstr>
      <vt:lpstr/>
      <vt:lpstr>2.	(a)	No. The Municipal Systems Act Disciplinary Regulations and the Municipal </vt:lpstr>
      <vt:lpstr/>
      <vt:lpstr>(b)	The Municipal Financial Misconduct Regulations deals with reporting and inve</vt:lpstr>
      <vt:lpstr>End. </vt:lpstr>
    </vt:vector>
  </TitlesOfParts>
  <Company>Toshiba</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2020-08-25T16:52:00Z</dcterms:created>
  <dcterms:modified xsi:type="dcterms:W3CDTF">2020-08-25T16:52:00Z</dcterms:modified>
</cp:coreProperties>
</file>