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1F2B80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86CC6">
        <w:rPr>
          <w:rFonts w:ascii="Arial" w:eastAsia="Arial Unicode MS" w:hAnsi="Arial" w:cs="Arial"/>
          <w:b/>
          <w:bCs/>
          <w:bdr w:val="nil"/>
          <w:lang w:val="en-US"/>
        </w:rPr>
        <w:t>12</w:t>
      </w:r>
      <w:r w:rsidR="008D73C8">
        <w:rPr>
          <w:rFonts w:ascii="Arial" w:eastAsia="Arial Unicode MS" w:hAnsi="Arial" w:cs="Arial"/>
          <w:b/>
          <w:bCs/>
          <w:bdr w:val="nil"/>
          <w:lang w:val="en-US"/>
        </w:rPr>
        <w:t>86</w:t>
      </w:r>
    </w:p>
    <w:p w:rsidR="00DB6BD3" w:rsidRPr="00DB6BD3" w:rsidRDefault="00857718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86CC6">
        <w:rPr>
          <w:rFonts w:ascii="Arial" w:eastAsia="Arial Unicode MS" w:hAnsi="Arial" w:cs="Arial"/>
          <w:b/>
          <w:bCs/>
          <w:bdr w:val="nil"/>
          <w:lang w:val="en-US"/>
        </w:rPr>
        <w:t>1 April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1F2B80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686CC6">
        <w:rPr>
          <w:rFonts w:ascii="Arial" w:eastAsia="Arial Unicode MS" w:hAnsi="Arial" w:cs="Arial"/>
          <w:b/>
          <w:bCs/>
          <w:bdr w:val="nil"/>
          <w:lang w:val="en-US"/>
        </w:rPr>
        <w:t>13</w:t>
      </w:r>
    </w:p>
    <w:p w:rsidR="00DB6BD3" w:rsidRPr="00DB6BD3" w:rsidRDefault="00DB6BD3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3200E8">
        <w:rPr>
          <w:rFonts w:ascii="Arial" w:eastAsia="Arial Unicode MS" w:hAnsi="Arial" w:cs="Arial"/>
          <w:b/>
          <w:bCs/>
          <w:bdr w:val="nil"/>
          <w:lang w:val="en-US"/>
        </w:rPr>
        <w:tab/>
        <w:t>20 April 2022</w:t>
      </w:r>
      <w:bookmarkStart w:id="0" w:name="_GoBack"/>
      <w:bookmarkEnd w:id="0"/>
    </w:p>
    <w:p w:rsidR="00DB6BD3" w:rsidRPr="00DB6BD3" w:rsidRDefault="00DB6BD3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jc w:val="both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803652" w:rsidRDefault="00803652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8D73C8" w:rsidRPr="00D83AFB" w:rsidRDefault="008D73C8" w:rsidP="003065F5">
      <w:pPr>
        <w:spacing w:before="100" w:beforeAutospacing="1" w:after="100" w:afterAutospacing="1" w:line="240" w:lineRule="auto"/>
        <w:ind w:left="720" w:right="26" w:hanging="720"/>
        <w:jc w:val="both"/>
        <w:outlineLvl w:val="0"/>
        <w:rPr>
          <w:rFonts w:ascii="Arial" w:hAnsi="Arial" w:cs="Arial"/>
        </w:rPr>
      </w:pPr>
      <w:r w:rsidRPr="00D83AFB">
        <w:rPr>
          <w:rFonts w:ascii="Arial" w:hAnsi="Arial" w:cs="Arial"/>
          <w:b/>
        </w:rPr>
        <w:t>Ms H S Winkler (DA) to ask the Minister of Tourism</w:t>
      </w:r>
      <w:r w:rsidR="00D61792" w:rsidRPr="00D83AFB">
        <w:rPr>
          <w:rFonts w:ascii="Arial" w:hAnsi="Arial" w:cs="Arial"/>
          <w:b/>
        </w:rPr>
        <w:fldChar w:fldCharType="begin"/>
      </w:r>
      <w:r w:rsidRPr="00D83AFB">
        <w:rPr>
          <w:rFonts w:ascii="Arial" w:hAnsi="Arial" w:cs="Arial"/>
        </w:rPr>
        <w:instrText xml:space="preserve"> XE "</w:instrText>
      </w:r>
      <w:r w:rsidRPr="00D83AFB">
        <w:rPr>
          <w:rFonts w:ascii="Arial" w:hAnsi="Arial" w:cs="Arial"/>
          <w:b/>
        </w:rPr>
        <w:instrText>Tourism</w:instrText>
      </w:r>
      <w:r w:rsidRPr="00D83AFB">
        <w:rPr>
          <w:rFonts w:ascii="Arial" w:hAnsi="Arial" w:cs="Arial"/>
        </w:rPr>
        <w:instrText xml:space="preserve">" </w:instrText>
      </w:r>
      <w:r w:rsidR="00D61792" w:rsidRPr="00D83AFB">
        <w:rPr>
          <w:rFonts w:ascii="Arial" w:hAnsi="Arial" w:cs="Arial"/>
          <w:b/>
        </w:rPr>
        <w:fldChar w:fldCharType="end"/>
      </w:r>
      <w:r w:rsidRPr="00D83AFB">
        <w:rPr>
          <w:rFonts w:ascii="Arial" w:hAnsi="Arial" w:cs="Arial"/>
          <w:b/>
        </w:rPr>
        <w:t xml:space="preserve">: </w:t>
      </w:r>
    </w:p>
    <w:p w:rsidR="008D73C8" w:rsidRPr="00D83AFB" w:rsidRDefault="008D73C8" w:rsidP="006977BA">
      <w:pPr>
        <w:spacing w:before="240" w:line="360" w:lineRule="auto"/>
        <w:ind w:right="26" w:firstLine="11"/>
        <w:jc w:val="both"/>
        <w:rPr>
          <w:rFonts w:ascii="Arial" w:hAnsi="Arial" w:cs="Arial"/>
        </w:rPr>
      </w:pPr>
      <w:r w:rsidRPr="00D83AFB">
        <w:rPr>
          <w:rFonts w:ascii="Arial" w:hAnsi="Arial" w:cs="Arial"/>
        </w:rPr>
        <w:t>What are the relevant details of each of the tourism-related climate change resilience and adaptation programmes, including pilot programmes and interventions, that her department has pursued and/or implemented in the past three financial years?</w:t>
      </w:r>
      <w:r w:rsidRPr="00D83AFB">
        <w:rPr>
          <w:rFonts w:ascii="Arial" w:hAnsi="Arial" w:cs="Arial"/>
        </w:rPr>
        <w:tab/>
        <w:t xml:space="preserve">                                                         NW1545E</w:t>
      </w:r>
    </w:p>
    <w:p w:rsidR="008D73C8" w:rsidRDefault="008D73C8" w:rsidP="00697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p w:rsidR="00803652" w:rsidRDefault="00803652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686CC6" w:rsidRDefault="00686CC6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5C0011" w:rsidRDefault="005C0011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Cs/>
          <w:lang w:val="en-US"/>
        </w:rPr>
      </w:pPr>
    </w:p>
    <w:p w:rsidR="00454A37" w:rsidRPr="00454A37" w:rsidRDefault="005C0011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T</w:t>
      </w:r>
      <w:r w:rsidR="00454A37" w:rsidRPr="00454A37">
        <w:rPr>
          <w:rFonts w:ascii="Arial" w:eastAsia="Calibri" w:hAnsi="Arial" w:cs="Arial"/>
          <w:bCs/>
          <w:lang w:val="en-US"/>
        </w:rPr>
        <w:t xml:space="preserve">he department has a </w:t>
      </w:r>
      <w:r w:rsidR="00454A37" w:rsidRPr="00CD08F4">
        <w:rPr>
          <w:rFonts w:ascii="Arial" w:eastAsia="Calibri" w:hAnsi="Arial" w:cs="Arial"/>
          <w:b/>
          <w:bCs/>
          <w:lang w:val="en-US"/>
        </w:rPr>
        <w:t>Tourism Adaptation Project (TAP</w:t>
      </w:r>
      <w:r w:rsidR="00454A37" w:rsidRPr="00454A37">
        <w:rPr>
          <w:rFonts w:ascii="Arial" w:eastAsia="Calibri" w:hAnsi="Arial" w:cs="Arial"/>
          <w:bCs/>
          <w:lang w:val="en-US"/>
        </w:rPr>
        <w:t>). The project seeks to build the resilience and adaptive capacity of the tourism sector to the impacts of climate change.</w:t>
      </w:r>
      <w:r>
        <w:rPr>
          <w:rFonts w:ascii="Arial" w:eastAsia="Calibri" w:hAnsi="Arial" w:cs="Arial"/>
          <w:bCs/>
          <w:lang w:val="en-US"/>
        </w:rPr>
        <w:t xml:space="preserve"> </w:t>
      </w:r>
      <w:r w:rsidR="00454A37" w:rsidRPr="00454A37">
        <w:rPr>
          <w:rFonts w:ascii="Arial" w:eastAsia="Calibri" w:hAnsi="Arial" w:cs="Arial"/>
          <w:bCs/>
          <w:lang w:val="en-US"/>
        </w:rPr>
        <w:t xml:space="preserve">In 2012, the department partnered with the </w:t>
      </w:r>
      <w:r w:rsidR="00DA35AE">
        <w:rPr>
          <w:rFonts w:ascii="Arial" w:eastAsia="Calibri" w:hAnsi="Arial" w:cs="Arial"/>
          <w:bCs/>
          <w:lang w:val="en-US"/>
        </w:rPr>
        <w:t xml:space="preserve">then </w:t>
      </w:r>
      <w:r w:rsidR="00454A37" w:rsidRPr="00454A37">
        <w:rPr>
          <w:rFonts w:ascii="Arial" w:eastAsia="Calibri" w:hAnsi="Arial" w:cs="Arial"/>
          <w:bCs/>
          <w:lang w:val="en-US"/>
        </w:rPr>
        <w:t xml:space="preserve">Department of Environmental Affairs (DEA) and the </w:t>
      </w:r>
      <w:r w:rsidR="00A46482" w:rsidRPr="00A46482">
        <w:rPr>
          <w:rFonts w:ascii="Arial" w:eastAsia="Calibri" w:hAnsi="Arial" w:cs="Arial"/>
          <w:bCs/>
          <w:lang w:val="en-US"/>
        </w:rPr>
        <w:t xml:space="preserve">Deutsche </w:t>
      </w:r>
      <w:proofErr w:type="spellStart"/>
      <w:r w:rsidR="00A46482" w:rsidRPr="00A46482">
        <w:rPr>
          <w:rFonts w:ascii="Arial" w:eastAsia="Calibri" w:hAnsi="Arial" w:cs="Arial"/>
          <w:bCs/>
          <w:lang w:val="en-US"/>
        </w:rPr>
        <w:t>Gesellschaft</w:t>
      </w:r>
      <w:proofErr w:type="spellEnd"/>
      <w:r w:rsidR="00A46482" w:rsidRPr="00A46482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="00A46482" w:rsidRPr="00A46482">
        <w:rPr>
          <w:rFonts w:ascii="Arial" w:eastAsia="Calibri" w:hAnsi="Arial" w:cs="Arial"/>
          <w:bCs/>
          <w:lang w:val="en-US"/>
        </w:rPr>
        <w:t>für</w:t>
      </w:r>
      <w:proofErr w:type="spellEnd"/>
      <w:r w:rsidR="00A46482" w:rsidRPr="00A46482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="00A46482" w:rsidRPr="00A46482">
        <w:rPr>
          <w:rFonts w:ascii="Arial" w:eastAsia="Calibri" w:hAnsi="Arial" w:cs="Arial"/>
          <w:bCs/>
          <w:lang w:val="en-US"/>
        </w:rPr>
        <w:t>Internationale</w:t>
      </w:r>
      <w:proofErr w:type="spellEnd"/>
      <w:r w:rsidR="00A46482" w:rsidRPr="00A46482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 w:rsidR="00A46482" w:rsidRPr="00A46482">
        <w:rPr>
          <w:rFonts w:ascii="Arial" w:eastAsia="Calibri" w:hAnsi="Arial" w:cs="Arial"/>
          <w:bCs/>
          <w:lang w:val="en-US"/>
        </w:rPr>
        <w:t>Zusammenarbeit</w:t>
      </w:r>
      <w:proofErr w:type="spellEnd"/>
      <w:r w:rsidR="00A46482" w:rsidRPr="00A46482">
        <w:rPr>
          <w:rFonts w:ascii="Arial" w:eastAsia="Calibri" w:hAnsi="Arial" w:cs="Arial"/>
          <w:bCs/>
          <w:lang w:val="en-US"/>
        </w:rPr>
        <w:t xml:space="preserve"> (GIZ)</w:t>
      </w:r>
      <w:r w:rsidR="00E8047E">
        <w:rPr>
          <w:rFonts w:ascii="Arial" w:eastAsia="Calibri" w:hAnsi="Arial" w:cs="Arial"/>
          <w:bCs/>
          <w:lang w:val="en-US"/>
        </w:rPr>
        <w:t xml:space="preserve"> </w:t>
      </w:r>
      <w:r w:rsidR="00454A37" w:rsidRPr="00454A37">
        <w:rPr>
          <w:rFonts w:ascii="Arial" w:eastAsia="Calibri" w:hAnsi="Arial" w:cs="Arial"/>
          <w:bCs/>
          <w:lang w:val="en-US"/>
        </w:rPr>
        <w:t>to conduct a Baseline Assessment of the Impacts of Climate Change on Tourism. A Basic Vulnerability Guideline was developed to assist tourism attractions to assess their vulnerability to climate change.</w:t>
      </w:r>
    </w:p>
    <w:p w:rsidR="00DA35AE" w:rsidRDefault="00DA35AE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Cs/>
          <w:lang w:val="en-US"/>
        </w:rPr>
      </w:pPr>
    </w:p>
    <w:p w:rsidR="00FE703F" w:rsidRDefault="00DA35AE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2019/20</w:t>
      </w:r>
      <w:r w:rsidR="00F06106">
        <w:rPr>
          <w:rFonts w:ascii="Arial" w:eastAsia="Calibri" w:hAnsi="Arial" w:cs="Arial"/>
          <w:bCs/>
          <w:lang w:val="en-US"/>
        </w:rPr>
        <w:t xml:space="preserve"> - T</w:t>
      </w:r>
      <w:r w:rsidR="00FE703F" w:rsidRPr="00FE703F">
        <w:rPr>
          <w:rFonts w:ascii="Arial" w:eastAsia="Calibri" w:hAnsi="Arial" w:cs="Arial"/>
          <w:bCs/>
          <w:lang w:val="en-US"/>
        </w:rPr>
        <w:t xml:space="preserve">he Department of </w:t>
      </w:r>
      <w:r w:rsidR="0070444D" w:rsidRPr="00FE703F">
        <w:rPr>
          <w:rFonts w:ascii="Arial" w:eastAsia="Calibri" w:hAnsi="Arial" w:cs="Arial"/>
          <w:bCs/>
          <w:lang w:val="en-US"/>
        </w:rPr>
        <w:t>Tourism</w:t>
      </w:r>
      <w:r w:rsidR="0070444D">
        <w:rPr>
          <w:rFonts w:ascii="Arial" w:eastAsia="Calibri" w:hAnsi="Arial" w:cs="Arial"/>
          <w:bCs/>
          <w:lang w:val="en-US"/>
        </w:rPr>
        <w:t xml:space="preserve">, </w:t>
      </w:r>
      <w:r w:rsidR="0070444D" w:rsidRPr="00FE703F">
        <w:rPr>
          <w:rFonts w:ascii="Arial" w:eastAsia="Calibri" w:hAnsi="Arial" w:cs="Arial"/>
          <w:bCs/>
          <w:lang w:val="en-US"/>
        </w:rPr>
        <w:t>in</w:t>
      </w:r>
      <w:r w:rsidR="00FE703F">
        <w:rPr>
          <w:rFonts w:ascii="Arial" w:eastAsia="Calibri" w:hAnsi="Arial" w:cs="Arial"/>
          <w:bCs/>
          <w:lang w:val="en-US"/>
        </w:rPr>
        <w:t xml:space="preserve"> partnership </w:t>
      </w:r>
      <w:r w:rsidR="00FE703F" w:rsidRPr="00FE703F">
        <w:rPr>
          <w:rFonts w:ascii="Arial" w:eastAsia="Calibri" w:hAnsi="Arial" w:cs="Arial"/>
          <w:bCs/>
          <w:lang w:val="en-US"/>
        </w:rPr>
        <w:t>with the Department of Forestry</w:t>
      </w:r>
      <w:r w:rsidR="00FE703F">
        <w:rPr>
          <w:rFonts w:ascii="Arial" w:eastAsia="Calibri" w:hAnsi="Arial" w:cs="Arial"/>
          <w:bCs/>
          <w:lang w:val="en-US"/>
        </w:rPr>
        <w:t>,</w:t>
      </w:r>
      <w:r w:rsidR="00FE703F" w:rsidRPr="00FE703F">
        <w:rPr>
          <w:rFonts w:ascii="Arial" w:eastAsia="Calibri" w:hAnsi="Arial" w:cs="Arial"/>
          <w:bCs/>
          <w:lang w:val="en-US"/>
        </w:rPr>
        <w:t xml:space="preserve"> Fisheries and the Environment (DFFE) and GIZ, commissioned a detailed climate change risk and vulnerability assessment of the tourism sector. As part of the project, 27 tourism sites were assessed across the country. Furthermore, a </w:t>
      </w:r>
      <w:r w:rsidR="006977BA">
        <w:rPr>
          <w:rFonts w:ascii="Arial" w:eastAsia="Calibri" w:hAnsi="Arial" w:cs="Arial"/>
          <w:bCs/>
          <w:lang w:val="en-US"/>
        </w:rPr>
        <w:t>three-year</w:t>
      </w:r>
      <w:r w:rsidR="00FE703F" w:rsidRPr="00FE703F">
        <w:rPr>
          <w:rFonts w:ascii="Arial" w:eastAsia="Calibri" w:hAnsi="Arial" w:cs="Arial"/>
          <w:bCs/>
          <w:lang w:val="en-US"/>
        </w:rPr>
        <w:t xml:space="preserve"> implementation plan was developed as part of the project.  One of the priorities in the implementation plan is </w:t>
      </w:r>
      <w:r w:rsidR="006977BA">
        <w:rPr>
          <w:rFonts w:ascii="Arial" w:eastAsia="Calibri" w:hAnsi="Arial" w:cs="Arial"/>
          <w:bCs/>
          <w:lang w:val="en-US"/>
        </w:rPr>
        <w:t>e</w:t>
      </w:r>
      <w:r w:rsidR="00FE703F" w:rsidRPr="00FE703F">
        <w:rPr>
          <w:rFonts w:ascii="Arial" w:eastAsia="Calibri" w:hAnsi="Arial" w:cs="Arial"/>
          <w:bCs/>
          <w:lang w:val="en-US"/>
        </w:rPr>
        <w:t xml:space="preserve">ducation </w:t>
      </w:r>
      <w:r w:rsidR="006977BA">
        <w:rPr>
          <w:rFonts w:ascii="Arial" w:eastAsia="Calibri" w:hAnsi="Arial" w:cs="Arial"/>
          <w:bCs/>
          <w:lang w:val="en-US"/>
        </w:rPr>
        <w:t xml:space="preserve">and </w:t>
      </w:r>
      <w:r w:rsidR="006977BA" w:rsidRPr="00FE703F">
        <w:rPr>
          <w:rFonts w:ascii="Arial" w:eastAsia="Calibri" w:hAnsi="Arial" w:cs="Arial"/>
          <w:bCs/>
          <w:lang w:val="en-US"/>
        </w:rPr>
        <w:t>training</w:t>
      </w:r>
      <w:r w:rsidR="00FE703F" w:rsidRPr="00FE703F">
        <w:rPr>
          <w:rFonts w:ascii="Arial" w:eastAsia="Calibri" w:hAnsi="Arial" w:cs="Arial"/>
          <w:bCs/>
          <w:lang w:val="en-US"/>
        </w:rPr>
        <w:t>.</w:t>
      </w:r>
    </w:p>
    <w:p w:rsidR="00FE703F" w:rsidRDefault="00FE703F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Cs/>
          <w:lang w:val="en-US"/>
        </w:rPr>
      </w:pPr>
    </w:p>
    <w:p w:rsidR="00F06106" w:rsidRDefault="00F06106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lastRenderedPageBreak/>
        <w:t>202</w:t>
      </w:r>
      <w:r w:rsidR="003065F5">
        <w:rPr>
          <w:rFonts w:ascii="Arial" w:eastAsia="Calibri" w:hAnsi="Arial" w:cs="Arial"/>
          <w:lang w:val="en-GB"/>
        </w:rPr>
        <w:t>0</w:t>
      </w:r>
      <w:r>
        <w:rPr>
          <w:rFonts w:ascii="Arial" w:eastAsia="Calibri" w:hAnsi="Arial" w:cs="Arial"/>
          <w:lang w:val="en-GB"/>
        </w:rPr>
        <w:t>/2</w:t>
      </w:r>
      <w:r w:rsidR="003065F5">
        <w:rPr>
          <w:rFonts w:ascii="Arial" w:eastAsia="Calibri" w:hAnsi="Arial" w:cs="Arial"/>
          <w:lang w:val="en-GB"/>
        </w:rPr>
        <w:t>1</w:t>
      </w:r>
      <w:r>
        <w:rPr>
          <w:rFonts w:ascii="Arial" w:eastAsia="Calibri" w:hAnsi="Arial" w:cs="Arial"/>
          <w:lang w:val="en-GB"/>
        </w:rPr>
        <w:t xml:space="preserve"> - </w:t>
      </w:r>
      <w:r w:rsidRPr="00F06106">
        <w:rPr>
          <w:rFonts w:ascii="Arial" w:eastAsia="Calibri" w:hAnsi="Arial" w:cs="Arial"/>
          <w:lang w:val="en-GB"/>
        </w:rPr>
        <w:t xml:space="preserve">To give effect to this priority on climate change education and training, </w:t>
      </w:r>
      <w:r w:rsidR="006977BA">
        <w:rPr>
          <w:rFonts w:ascii="Arial" w:eastAsia="Calibri" w:hAnsi="Arial" w:cs="Arial"/>
          <w:lang w:val="en-GB"/>
        </w:rPr>
        <w:t xml:space="preserve">the </w:t>
      </w:r>
      <w:r w:rsidR="003200E8">
        <w:rPr>
          <w:rFonts w:ascii="Arial" w:eastAsia="Calibri" w:hAnsi="Arial" w:cs="Arial"/>
          <w:lang w:val="en-GB"/>
        </w:rPr>
        <w:t>department,</w:t>
      </w:r>
      <w:r w:rsidRPr="00F06106">
        <w:rPr>
          <w:rFonts w:ascii="Arial" w:eastAsia="Calibri" w:hAnsi="Arial" w:cs="Arial"/>
          <w:lang w:val="en-GB"/>
        </w:rPr>
        <w:t xml:space="preserve"> in partnership with the DFFE and GIZ, identified the need for the development of a Climate Change Communication Strategy for the tourism sector.</w:t>
      </w:r>
      <w:r>
        <w:rPr>
          <w:rFonts w:ascii="Arial" w:eastAsia="Calibri" w:hAnsi="Arial" w:cs="Arial"/>
          <w:lang w:val="en-GB"/>
        </w:rPr>
        <w:t xml:space="preserve"> This resulted in the development of </w:t>
      </w:r>
      <w:r w:rsidRPr="00CD08F4">
        <w:rPr>
          <w:rFonts w:ascii="Arial" w:eastAsia="Calibri" w:hAnsi="Arial" w:cs="Arial"/>
          <w:b/>
          <w:lang w:val="en-GB"/>
        </w:rPr>
        <w:t>the South African Tourism Climate Change Communication Strategy</w:t>
      </w:r>
      <w:r>
        <w:rPr>
          <w:rFonts w:ascii="Arial" w:eastAsia="Calibri" w:hAnsi="Arial" w:cs="Arial"/>
          <w:lang w:val="en-GB"/>
        </w:rPr>
        <w:t xml:space="preserve"> (SATCCCS)</w:t>
      </w:r>
      <w:r w:rsidR="003065F5">
        <w:rPr>
          <w:rFonts w:ascii="Arial" w:eastAsia="Calibri" w:hAnsi="Arial" w:cs="Arial"/>
          <w:lang w:val="en-GB"/>
        </w:rPr>
        <w:t xml:space="preserve"> in 2021/22 financial year</w:t>
      </w:r>
      <w:r>
        <w:rPr>
          <w:rFonts w:ascii="Arial" w:eastAsia="Calibri" w:hAnsi="Arial" w:cs="Arial"/>
          <w:lang w:val="en-GB"/>
        </w:rPr>
        <w:t>.</w:t>
      </w:r>
    </w:p>
    <w:p w:rsidR="00F33C45" w:rsidRDefault="00F33C45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3200E8" w:rsidRDefault="00E951A5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An a</w:t>
      </w:r>
      <w:r w:rsidR="00F33C45" w:rsidRPr="00F5272E">
        <w:rPr>
          <w:rFonts w:ascii="Arial" w:eastAsia="Calibri" w:hAnsi="Arial" w:cs="Arial"/>
          <w:lang w:val="en-GB"/>
        </w:rPr>
        <w:t>dditiona</w:t>
      </w:r>
      <w:r w:rsidR="00AA7D84">
        <w:rPr>
          <w:rFonts w:ascii="Arial" w:eastAsia="Calibri" w:hAnsi="Arial" w:cs="Arial"/>
          <w:lang w:val="en-GB"/>
        </w:rPr>
        <w:t xml:space="preserve">l </w:t>
      </w:r>
      <w:r>
        <w:rPr>
          <w:rFonts w:ascii="Arial" w:eastAsia="Calibri" w:hAnsi="Arial" w:cs="Arial"/>
          <w:lang w:val="en-GB"/>
        </w:rPr>
        <w:t xml:space="preserve">five </w:t>
      </w:r>
      <w:r w:rsidR="00F33C45" w:rsidRPr="00F5272E">
        <w:rPr>
          <w:rFonts w:ascii="Arial" w:eastAsia="Calibri" w:hAnsi="Arial" w:cs="Arial"/>
          <w:lang w:val="en-GB"/>
        </w:rPr>
        <w:t xml:space="preserve">climate change risk and vulnerability assessments were </w:t>
      </w:r>
      <w:r w:rsidR="00F5272E">
        <w:rPr>
          <w:rFonts w:ascii="Arial" w:eastAsia="Calibri" w:hAnsi="Arial" w:cs="Arial"/>
          <w:lang w:val="en-GB"/>
        </w:rPr>
        <w:t xml:space="preserve">also </w:t>
      </w:r>
      <w:r w:rsidR="00F33C45" w:rsidRPr="00F5272E">
        <w:rPr>
          <w:rFonts w:ascii="Arial" w:eastAsia="Calibri" w:hAnsi="Arial" w:cs="Arial"/>
          <w:lang w:val="en-GB"/>
        </w:rPr>
        <w:t xml:space="preserve">conducted </w:t>
      </w:r>
      <w:r w:rsidR="00A46482">
        <w:rPr>
          <w:rFonts w:ascii="Arial" w:eastAsia="Calibri" w:hAnsi="Arial" w:cs="Arial"/>
          <w:lang w:val="en-GB"/>
        </w:rPr>
        <w:t xml:space="preserve">during 2021/22 </w:t>
      </w:r>
      <w:r w:rsidR="00F33C45" w:rsidRPr="00F5272E">
        <w:rPr>
          <w:rFonts w:ascii="Arial" w:eastAsia="Calibri" w:hAnsi="Arial" w:cs="Arial"/>
          <w:lang w:val="en-GB"/>
        </w:rPr>
        <w:t xml:space="preserve">in major tourism </w:t>
      </w:r>
      <w:r w:rsidR="00F5272E" w:rsidRPr="00F5272E">
        <w:rPr>
          <w:rFonts w:ascii="Arial" w:eastAsia="Calibri" w:hAnsi="Arial" w:cs="Arial"/>
          <w:lang w:val="en-GB"/>
        </w:rPr>
        <w:t xml:space="preserve">attraction </w:t>
      </w:r>
      <w:r w:rsidR="00F33C45" w:rsidRPr="00F5272E">
        <w:rPr>
          <w:rFonts w:ascii="Arial" w:eastAsia="Calibri" w:hAnsi="Arial" w:cs="Arial"/>
          <w:lang w:val="en-GB"/>
        </w:rPr>
        <w:t xml:space="preserve">sites </w:t>
      </w:r>
      <w:r>
        <w:rPr>
          <w:rFonts w:ascii="Arial" w:eastAsia="Calibri" w:hAnsi="Arial" w:cs="Arial"/>
          <w:lang w:val="en-GB"/>
        </w:rPr>
        <w:t xml:space="preserve">including the following:  </w:t>
      </w:r>
      <w:r w:rsidR="00F33C45" w:rsidRPr="00F5272E">
        <w:rPr>
          <w:rFonts w:ascii="Arial" w:eastAsia="Calibri" w:hAnsi="Arial" w:cs="Arial"/>
          <w:lang w:val="en-GB"/>
        </w:rPr>
        <w:t xml:space="preserve"> </w:t>
      </w:r>
    </w:p>
    <w:p w:rsidR="003200E8" w:rsidRDefault="003200E8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3200E8" w:rsidRDefault="00F5272E" w:rsidP="003200E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3200E8">
        <w:rPr>
          <w:rFonts w:ascii="Arial" w:eastAsia="Calibri" w:hAnsi="Arial" w:cs="Arial"/>
          <w:lang w:val="en-GB"/>
        </w:rPr>
        <w:t>Table Mountain National Park</w:t>
      </w:r>
      <w:r w:rsidR="003200E8" w:rsidRPr="003200E8">
        <w:rPr>
          <w:rFonts w:ascii="Arial" w:eastAsia="Calibri" w:hAnsi="Arial" w:cs="Arial"/>
          <w:lang w:val="en-GB"/>
        </w:rPr>
        <w:t>;</w:t>
      </w:r>
    </w:p>
    <w:p w:rsidR="003200E8" w:rsidRDefault="00F5272E" w:rsidP="003200E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3200E8">
        <w:rPr>
          <w:rFonts w:ascii="Arial" w:eastAsia="Calibri" w:hAnsi="Arial" w:cs="Arial"/>
          <w:lang w:val="en-GB"/>
        </w:rPr>
        <w:t>Robben</w:t>
      </w:r>
      <w:proofErr w:type="spellEnd"/>
      <w:r w:rsidRPr="003200E8">
        <w:rPr>
          <w:rFonts w:ascii="Arial" w:eastAsia="Calibri" w:hAnsi="Arial" w:cs="Arial"/>
          <w:lang w:val="en-GB"/>
        </w:rPr>
        <w:t xml:space="preserve"> Island</w:t>
      </w:r>
    </w:p>
    <w:p w:rsidR="003200E8" w:rsidRDefault="00F5272E" w:rsidP="003200E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3200E8">
        <w:rPr>
          <w:rFonts w:ascii="Arial" w:eastAsia="Calibri" w:hAnsi="Arial" w:cs="Arial"/>
          <w:lang w:val="en-GB"/>
        </w:rPr>
        <w:t>Kruger National Park</w:t>
      </w:r>
    </w:p>
    <w:p w:rsidR="003200E8" w:rsidRDefault="00F5272E" w:rsidP="003200E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proofErr w:type="spellStart"/>
      <w:r w:rsidRPr="003200E8">
        <w:rPr>
          <w:rFonts w:ascii="Arial" w:eastAsia="Calibri" w:hAnsi="Arial" w:cs="Arial"/>
          <w:lang w:val="en-GB"/>
        </w:rPr>
        <w:t>iSimangaliso</w:t>
      </w:r>
      <w:proofErr w:type="spellEnd"/>
      <w:r w:rsidRPr="003200E8">
        <w:rPr>
          <w:rFonts w:ascii="Arial" w:eastAsia="Calibri" w:hAnsi="Arial" w:cs="Arial"/>
          <w:lang w:val="en-GB"/>
        </w:rPr>
        <w:t xml:space="preserve"> Wetland Park</w:t>
      </w:r>
      <w:r w:rsidR="003200E8">
        <w:rPr>
          <w:rFonts w:ascii="Arial" w:eastAsia="Calibri" w:hAnsi="Arial" w:cs="Arial"/>
          <w:lang w:val="en-GB"/>
        </w:rPr>
        <w:t>;</w:t>
      </w:r>
      <w:r w:rsidRPr="003200E8">
        <w:rPr>
          <w:rFonts w:ascii="Arial" w:eastAsia="Calibri" w:hAnsi="Arial" w:cs="Arial"/>
          <w:lang w:val="en-GB"/>
        </w:rPr>
        <w:t xml:space="preserve"> and </w:t>
      </w:r>
    </w:p>
    <w:p w:rsidR="003200E8" w:rsidRDefault="00F5272E" w:rsidP="003200E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proofErr w:type="gramStart"/>
      <w:r w:rsidRPr="003200E8">
        <w:rPr>
          <w:rFonts w:ascii="Arial" w:eastAsia="Calibri" w:hAnsi="Arial" w:cs="Arial"/>
          <w:lang w:val="en-GB"/>
        </w:rPr>
        <w:t>uKhahlamba-Drakensberg</w:t>
      </w:r>
      <w:proofErr w:type="gramEnd"/>
      <w:r w:rsidRPr="003200E8">
        <w:rPr>
          <w:rFonts w:ascii="Arial" w:eastAsia="Calibri" w:hAnsi="Arial" w:cs="Arial"/>
          <w:lang w:val="en-GB"/>
        </w:rPr>
        <w:t xml:space="preserve"> Park</w:t>
      </w:r>
      <w:r w:rsidR="00D06BAF" w:rsidRPr="003200E8">
        <w:rPr>
          <w:rFonts w:ascii="Arial" w:eastAsia="Calibri" w:hAnsi="Arial" w:cs="Arial"/>
          <w:lang w:val="en-GB"/>
        </w:rPr>
        <w:t>.</w:t>
      </w:r>
      <w:r w:rsidRPr="003200E8">
        <w:rPr>
          <w:rFonts w:ascii="Arial" w:eastAsia="Calibri" w:hAnsi="Arial" w:cs="Arial"/>
          <w:lang w:val="en-GB"/>
        </w:rPr>
        <w:t xml:space="preserve"> </w:t>
      </w:r>
      <w:r w:rsidR="00E951A5" w:rsidRPr="003200E8">
        <w:rPr>
          <w:rFonts w:ascii="Arial" w:eastAsia="Calibri" w:hAnsi="Arial" w:cs="Arial"/>
          <w:lang w:val="en-GB"/>
        </w:rPr>
        <w:t xml:space="preserve"> </w:t>
      </w:r>
    </w:p>
    <w:p w:rsidR="003200E8" w:rsidRDefault="003200E8" w:rsidP="003200E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F33C45" w:rsidRPr="003200E8" w:rsidRDefault="00D06BAF" w:rsidP="003200E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Arial" w:eastAsia="Calibri" w:hAnsi="Arial" w:cs="Arial"/>
          <w:lang w:val="en-GB"/>
        </w:rPr>
      </w:pPr>
      <w:r w:rsidRPr="003200E8">
        <w:rPr>
          <w:rFonts w:ascii="Arial" w:eastAsia="Calibri" w:hAnsi="Arial" w:cs="Arial"/>
          <w:lang w:val="en-GB"/>
        </w:rPr>
        <w:t>T</w:t>
      </w:r>
      <w:r w:rsidR="005C0011" w:rsidRPr="003200E8">
        <w:rPr>
          <w:rFonts w:ascii="Arial" w:eastAsia="Calibri" w:hAnsi="Arial" w:cs="Arial"/>
          <w:lang w:val="en-GB"/>
        </w:rPr>
        <w:t xml:space="preserve">he </w:t>
      </w:r>
      <w:r w:rsidR="00E951A5" w:rsidRPr="003200E8">
        <w:rPr>
          <w:rFonts w:ascii="Arial" w:eastAsia="Calibri" w:hAnsi="Arial" w:cs="Arial"/>
          <w:lang w:val="en-GB"/>
        </w:rPr>
        <w:t>Tourism A</w:t>
      </w:r>
      <w:r w:rsidR="003F1C5C" w:rsidRPr="003200E8">
        <w:rPr>
          <w:rFonts w:ascii="Arial" w:eastAsia="Calibri" w:hAnsi="Arial" w:cs="Arial"/>
          <w:lang w:val="en-GB"/>
        </w:rPr>
        <w:t xml:space="preserve">daptation </w:t>
      </w:r>
      <w:r w:rsidR="00E951A5" w:rsidRPr="003200E8">
        <w:rPr>
          <w:rFonts w:ascii="Arial" w:eastAsia="Calibri" w:hAnsi="Arial" w:cs="Arial"/>
          <w:lang w:val="en-GB"/>
        </w:rPr>
        <w:t>I</w:t>
      </w:r>
      <w:r w:rsidR="005C0011" w:rsidRPr="003200E8">
        <w:rPr>
          <w:rFonts w:ascii="Arial" w:eastAsia="Calibri" w:hAnsi="Arial" w:cs="Arial"/>
          <w:lang w:val="en-GB"/>
        </w:rPr>
        <w:t>mpl</w:t>
      </w:r>
      <w:r w:rsidR="00F33C45" w:rsidRPr="003200E8">
        <w:rPr>
          <w:rFonts w:ascii="Arial" w:eastAsia="Calibri" w:hAnsi="Arial" w:cs="Arial"/>
          <w:lang w:val="en-GB"/>
        </w:rPr>
        <w:t xml:space="preserve">ementation </w:t>
      </w:r>
      <w:r w:rsidR="00E951A5" w:rsidRPr="003200E8">
        <w:rPr>
          <w:rFonts w:ascii="Arial" w:eastAsia="Calibri" w:hAnsi="Arial" w:cs="Arial"/>
          <w:lang w:val="en-GB"/>
        </w:rPr>
        <w:t>P</w:t>
      </w:r>
      <w:r w:rsidR="00F33C45" w:rsidRPr="003200E8">
        <w:rPr>
          <w:rFonts w:ascii="Arial" w:eastAsia="Calibri" w:hAnsi="Arial" w:cs="Arial"/>
          <w:lang w:val="en-GB"/>
        </w:rPr>
        <w:t>lan</w:t>
      </w:r>
      <w:r w:rsidR="005C0011" w:rsidRPr="003200E8">
        <w:rPr>
          <w:rFonts w:ascii="Arial" w:eastAsia="Calibri" w:hAnsi="Arial" w:cs="Arial"/>
          <w:lang w:val="en-GB"/>
        </w:rPr>
        <w:t xml:space="preserve"> </w:t>
      </w:r>
      <w:r w:rsidR="00E951A5" w:rsidRPr="003200E8">
        <w:rPr>
          <w:rFonts w:ascii="Arial" w:eastAsia="Calibri" w:hAnsi="Arial" w:cs="Arial"/>
          <w:lang w:val="en-GB"/>
        </w:rPr>
        <w:t>w</w:t>
      </w:r>
      <w:r w:rsidR="005C0011" w:rsidRPr="003200E8">
        <w:rPr>
          <w:rFonts w:ascii="Arial" w:eastAsia="Calibri" w:hAnsi="Arial" w:cs="Arial"/>
          <w:lang w:val="en-GB"/>
        </w:rPr>
        <w:t>as</w:t>
      </w:r>
      <w:r w:rsidRPr="003200E8">
        <w:rPr>
          <w:rFonts w:ascii="Arial" w:eastAsia="Calibri" w:hAnsi="Arial" w:cs="Arial"/>
          <w:lang w:val="en-GB"/>
        </w:rPr>
        <w:t xml:space="preserve"> </w:t>
      </w:r>
      <w:r w:rsidR="003F1C5C" w:rsidRPr="003200E8">
        <w:rPr>
          <w:rFonts w:ascii="Arial" w:eastAsia="Calibri" w:hAnsi="Arial" w:cs="Arial"/>
          <w:lang w:val="en-GB"/>
        </w:rPr>
        <w:t xml:space="preserve">also </w:t>
      </w:r>
      <w:r w:rsidR="005C0011" w:rsidRPr="003200E8">
        <w:rPr>
          <w:rFonts w:ascii="Arial" w:eastAsia="Calibri" w:hAnsi="Arial" w:cs="Arial"/>
          <w:lang w:val="en-GB"/>
        </w:rPr>
        <w:t>updated</w:t>
      </w:r>
      <w:r w:rsidR="00E951A5" w:rsidRPr="003200E8">
        <w:rPr>
          <w:rFonts w:ascii="Arial" w:eastAsia="Calibri" w:hAnsi="Arial" w:cs="Arial"/>
          <w:lang w:val="en-GB"/>
        </w:rPr>
        <w:t xml:space="preserve"> in 2021/22 financial year.</w:t>
      </w:r>
    </w:p>
    <w:p w:rsidR="00F33C45" w:rsidRPr="00F06106" w:rsidRDefault="00F33C45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DA6EE7" w:rsidRDefault="00DA6EE7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DA6EE7" w:rsidRPr="00DA6EE7" w:rsidRDefault="00DA6EE7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DA6EE7" w:rsidRPr="007A257C" w:rsidRDefault="00DA6EE7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2D3423" w:rsidRDefault="002D3423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2D3423" w:rsidRPr="002D3423" w:rsidRDefault="002D3423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02354" w:rsidRDefault="00002354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02354" w:rsidRDefault="00002354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02354" w:rsidRDefault="00002354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47D27" w:rsidRDefault="00047D27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47D27" w:rsidRDefault="00047D27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47D27" w:rsidRDefault="00047D27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47D27" w:rsidRDefault="00047D27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47D27" w:rsidRDefault="00047D27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47D27" w:rsidRDefault="00047D27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p w:rsidR="00047D27" w:rsidRPr="00047D27" w:rsidRDefault="00047D27" w:rsidP="003065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29" w:rsidRDefault="00054D29">
      <w:pPr>
        <w:spacing w:after="0" w:line="240" w:lineRule="auto"/>
      </w:pPr>
      <w:r>
        <w:separator/>
      </w:r>
    </w:p>
  </w:endnote>
  <w:endnote w:type="continuationSeparator" w:id="0">
    <w:p w:rsidR="00054D29" w:rsidRDefault="0005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color w:val="auto"/>
        <w:sz w:val="22"/>
        <w:szCs w:val="22"/>
        <w:bdr w:val="none" w:sz="0" w:space="0" w:color="auto"/>
        <w:lang w:val="en-ZA" w:eastAsia="en-US"/>
      </w:r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6977BA" w:rsidRPr="006016C0" w:rsidRDefault="00DB6BD3" w:rsidP="006977BA">
        <w:pPr>
          <w:pStyle w:val="HeaderFooter"/>
          <w:rPr>
            <w:rFonts w:ascii="Arial Narrow" w:hAnsi="Arial Narrow"/>
            <w:sz w:val="18"/>
            <w:szCs w:val="18"/>
          </w:rPr>
        </w:pPr>
        <w:r>
          <w:t xml:space="preserve">                                                   </w:t>
        </w:r>
        <w:r w:rsidR="006977BA">
          <w:rPr>
            <w:rFonts w:ascii="Arial Narrow" w:hAnsi="Arial Narrow"/>
            <w:sz w:val="18"/>
            <w:szCs w:val="18"/>
          </w:rPr>
          <w:t>1286 (NW1545</w:t>
        </w:r>
        <w:r w:rsidR="006977BA" w:rsidRPr="006016C0">
          <w:rPr>
            <w:rFonts w:ascii="Arial Narrow" w:hAnsi="Arial Narrow"/>
            <w:sz w:val="18"/>
            <w:szCs w:val="18"/>
          </w:rPr>
          <w:t>E)</w:t>
        </w:r>
      </w:p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ab/>
        </w:r>
        <w:r w:rsidR="00D61792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D61792" w:rsidRPr="00013AC6">
          <w:rPr>
            <w:rFonts w:ascii="Arial Narrow" w:hAnsi="Arial Narrow"/>
          </w:rPr>
          <w:fldChar w:fldCharType="separate"/>
        </w:r>
        <w:r w:rsidR="000C6469">
          <w:rPr>
            <w:rFonts w:ascii="Arial Narrow" w:hAnsi="Arial Narrow"/>
            <w:noProof/>
          </w:rPr>
          <w:t>2</w:t>
        </w:r>
        <w:r w:rsidR="00D61792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6977BA" w:rsidP="00013AC6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054D29">
    <w:pPr>
      <w:pStyle w:val="Footer1"/>
      <w:jc w:val="right"/>
    </w:pPr>
  </w:p>
  <w:p w:rsidR="001656DE" w:rsidRPr="006016C0" w:rsidRDefault="00E33519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1286</w:t>
    </w:r>
    <w:r w:rsidR="00303C70">
      <w:rPr>
        <w:rFonts w:ascii="Arial Narrow" w:hAnsi="Arial Narrow"/>
        <w:sz w:val="18"/>
        <w:szCs w:val="18"/>
      </w:rPr>
      <w:t xml:space="preserve"> </w:t>
    </w:r>
    <w:r w:rsidR="001F2B80">
      <w:rPr>
        <w:rFonts w:ascii="Arial Narrow" w:hAnsi="Arial Narrow"/>
        <w:sz w:val="18"/>
        <w:szCs w:val="18"/>
      </w:rPr>
      <w:t>(NW</w:t>
    </w:r>
    <w:r w:rsidR="00303C70">
      <w:rPr>
        <w:rFonts w:ascii="Arial Narrow" w:hAnsi="Arial Narrow"/>
        <w:sz w:val="18"/>
        <w:szCs w:val="18"/>
      </w:rPr>
      <w:t>1</w:t>
    </w:r>
    <w:r w:rsidR="008D73C8">
      <w:rPr>
        <w:rFonts w:ascii="Arial Narrow" w:hAnsi="Arial Narrow"/>
        <w:sz w:val="18"/>
        <w:szCs w:val="18"/>
      </w:rPr>
      <w:t>545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29" w:rsidRDefault="00054D29">
      <w:pPr>
        <w:spacing w:after="0" w:line="240" w:lineRule="auto"/>
      </w:pPr>
      <w:r>
        <w:separator/>
      </w:r>
    </w:p>
  </w:footnote>
  <w:footnote w:type="continuationSeparator" w:id="0">
    <w:p w:rsidR="00054D29" w:rsidRDefault="0005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85BBD"/>
    <w:multiLevelType w:val="hybridMultilevel"/>
    <w:tmpl w:val="76F633DC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64F47"/>
    <w:multiLevelType w:val="hybridMultilevel"/>
    <w:tmpl w:val="5B2AAF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E53F41"/>
    <w:multiLevelType w:val="multilevel"/>
    <w:tmpl w:val="C8084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14"/>
  </w:num>
  <w:num w:numId="13">
    <w:abstractNumId w:val="3"/>
  </w:num>
  <w:num w:numId="14">
    <w:abstractNumId w:val="0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54D29"/>
    <w:rsid w:val="00076CE0"/>
    <w:rsid w:val="000857D8"/>
    <w:rsid w:val="000B7EA4"/>
    <w:rsid w:val="000C6469"/>
    <w:rsid w:val="000E3E94"/>
    <w:rsid w:val="000F1151"/>
    <w:rsid w:val="00102A3F"/>
    <w:rsid w:val="001059FF"/>
    <w:rsid w:val="00141A6F"/>
    <w:rsid w:val="00151D19"/>
    <w:rsid w:val="00193F9C"/>
    <w:rsid w:val="001B2BE2"/>
    <w:rsid w:val="001C7E21"/>
    <w:rsid w:val="001D4D89"/>
    <w:rsid w:val="001D7FC1"/>
    <w:rsid w:val="001F2B80"/>
    <w:rsid w:val="002245E3"/>
    <w:rsid w:val="002C461C"/>
    <w:rsid w:val="002D3423"/>
    <w:rsid w:val="003032AF"/>
    <w:rsid w:val="00303C70"/>
    <w:rsid w:val="003065F5"/>
    <w:rsid w:val="003200E8"/>
    <w:rsid w:val="00343394"/>
    <w:rsid w:val="00347DD6"/>
    <w:rsid w:val="0035411E"/>
    <w:rsid w:val="003B3F96"/>
    <w:rsid w:val="003D4147"/>
    <w:rsid w:val="003D7F28"/>
    <w:rsid w:val="003F1C5C"/>
    <w:rsid w:val="00434CE2"/>
    <w:rsid w:val="00454A37"/>
    <w:rsid w:val="00485BAA"/>
    <w:rsid w:val="00490A93"/>
    <w:rsid w:val="004A5358"/>
    <w:rsid w:val="004C4166"/>
    <w:rsid w:val="004E444B"/>
    <w:rsid w:val="004F2C4A"/>
    <w:rsid w:val="004F54C9"/>
    <w:rsid w:val="00544515"/>
    <w:rsid w:val="005C0011"/>
    <w:rsid w:val="005C74EC"/>
    <w:rsid w:val="005F1119"/>
    <w:rsid w:val="006010A3"/>
    <w:rsid w:val="00615126"/>
    <w:rsid w:val="0061799C"/>
    <w:rsid w:val="00626F0C"/>
    <w:rsid w:val="006335F8"/>
    <w:rsid w:val="00642803"/>
    <w:rsid w:val="00673A05"/>
    <w:rsid w:val="00686CC6"/>
    <w:rsid w:val="006977BA"/>
    <w:rsid w:val="006A6231"/>
    <w:rsid w:val="006B20E2"/>
    <w:rsid w:val="0070444D"/>
    <w:rsid w:val="007345DF"/>
    <w:rsid w:val="00765093"/>
    <w:rsid w:val="00772A65"/>
    <w:rsid w:val="00777955"/>
    <w:rsid w:val="007A257C"/>
    <w:rsid w:val="00803652"/>
    <w:rsid w:val="00804785"/>
    <w:rsid w:val="00807DBA"/>
    <w:rsid w:val="00810D60"/>
    <w:rsid w:val="008137D4"/>
    <w:rsid w:val="00857718"/>
    <w:rsid w:val="008A1044"/>
    <w:rsid w:val="008A79F4"/>
    <w:rsid w:val="008C442B"/>
    <w:rsid w:val="008D73C8"/>
    <w:rsid w:val="009030A1"/>
    <w:rsid w:val="009413A3"/>
    <w:rsid w:val="00950663"/>
    <w:rsid w:val="00966405"/>
    <w:rsid w:val="00977B49"/>
    <w:rsid w:val="009849DC"/>
    <w:rsid w:val="009863F2"/>
    <w:rsid w:val="009945BD"/>
    <w:rsid w:val="009D4024"/>
    <w:rsid w:val="00A46482"/>
    <w:rsid w:val="00A96F2D"/>
    <w:rsid w:val="00AA5F57"/>
    <w:rsid w:val="00AA7D84"/>
    <w:rsid w:val="00B24E20"/>
    <w:rsid w:val="00BA7422"/>
    <w:rsid w:val="00C03FFF"/>
    <w:rsid w:val="00C809F5"/>
    <w:rsid w:val="00C961C2"/>
    <w:rsid w:val="00CD08F4"/>
    <w:rsid w:val="00CE0094"/>
    <w:rsid w:val="00CE1CD0"/>
    <w:rsid w:val="00CE637C"/>
    <w:rsid w:val="00D06BAF"/>
    <w:rsid w:val="00D319C1"/>
    <w:rsid w:val="00D350AE"/>
    <w:rsid w:val="00D44311"/>
    <w:rsid w:val="00D47B6A"/>
    <w:rsid w:val="00D55C8A"/>
    <w:rsid w:val="00D61792"/>
    <w:rsid w:val="00D83AFB"/>
    <w:rsid w:val="00D9442B"/>
    <w:rsid w:val="00DA35AE"/>
    <w:rsid w:val="00DA6EE7"/>
    <w:rsid w:val="00DB6BD3"/>
    <w:rsid w:val="00DC1973"/>
    <w:rsid w:val="00DD3F26"/>
    <w:rsid w:val="00DE4655"/>
    <w:rsid w:val="00E03CDF"/>
    <w:rsid w:val="00E33519"/>
    <w:rsid w:val="00E57333"/>
    <w:rsid w:val="00E665D2"/>
    <w:rsid w:val="00E8047E"/>
    <w:rsid w:val="00E951A5"/>
    <w:rsid w:val="00EB2BA1"/>
    <w:rsid w:val="00F0026B"/>
    <w:rsid w:val="00F06106"/>
    <w:rsid w:val="00F33C45"/>
    <w:rsid w:val="00F37A82"/>
    <w:rsid w:val="00F51F48"/>
    <w:rsid w:val="00F5272E"/>
    <w:rsid w:val="00F63D2E"/>
    <w:rsid w:val="00FA467B"/>
    <w:rsid w:val="00FE56CB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2022-04-22T13:19:00Z</dcterms:created>
  <dcterms:modified xsi:type="dcterms:W3CDTF">2022-04-22T13:19:00Z</dcterms:modified>
</cp:coreProperties>
</file>