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7F" w:rsidRPr="000223FC" w:rsidRDefault="00CB687F" w:rsidP="00CB687F">
      <w:pPr>
        <w:ind w:right="284"/>
        <w:contextualSpacing/>
        <w:jc w:val="center"/>
        <w:outlineLvl w:val="0"/>
        <w:rPr>
          <w:rFonts w:ascii="Arial" w:hAnsi="Arial" w:cs="Arial"/>
          <w:b/>
        </w:rPr>
      </w:pPr>
      <w:bookmarkStart w:id="0" w:name="_GoBack"/>
      <w:bookmarkEnd w:id="0"/>
      <w:r w:rsidRPr="000223FC">
        <w:rPr>
          <w:rFonts w:ascii="Arial" w:hAnsi="Arial" w:cs="Arial"/>
          <w:b/>
        </w:rPr>
        <w:t>PARLIAMENT OF THE REPUBLIC OF SOUTH AFRICA</w:t>
      </w:r>
    </w:p>
    <w:p w:rsidR="00CB687F" w:rsidRPr="000223FC" w:rsidRDefault="00CB687F" w:rsidP="00CB687F">
      <w:pPr>
        <w:ind w:right="284"/>
        <w:contextualSpacing/>
        <w:jc w:val="center"/>
        <w:outlineLvl w:val="0"/>
        <w:rPr>
          <w:rFonts w:ascii="Arial" w:hAnsi="Arial" w:cs="Arial"/>
          <w:b/>
        </w:rPr>
      </w:pPr>
    </w:p>
    <w:p w:rsidR="00CB687F" w:rsidRPr="000223FC" w:rsidRDefault="00CB687F" w:rsidP="00CB687F">
      <w:pPr>
        <w:ind w:right="284"/>
        <w:contextualSpacing/>
        <w:jc w:val="center"/>
        <w:outlineLvl w:val="0"/>
        <w:rPr>
          <w:rFonts w:ascii="Arial" w:hAnsi="Arial" w:cs="Arial"/>
          <w:b/>
        </w:rPr>
      </w:pPr>
      <w:r w:rsidRPr="000223FC">
        <w:rPr>
          <w:rFonts w:ascii="Arial" w:hAnsi="Arial" w:cs="Arial"/>
          <w:b/>
        </w:rPr>
        <w:t>NATIONAL ASSEMBLY</w:t>
      </w:r>
    </w:p>
    <w:p w:rsidR="00CB687F" w:rsidRPr="000223FC" w:rsidRDefault="00CB687F" w:rsidP="00CB687F">
      <w:pPr>
        <w:ind w:right="284"/>
        <w:contextualSpacing/>
        <w:jc w:val="center"/>
        <w:outlineLvl w:val="0"/>
        <w:rPr>
          <w:rFonts w:ascii="Arial" w:hAnsi="Arial" w:cs="Arial"/>
          <w:b/>
        </w:rPr>
      </w:pPr>
    </w:p>
    <w:p w:rsidR="00CB687F" w:rsidRDefault="00CB687F" w:rsidP="00CB687F">
      <w:pPr>
        <w:ind w:right="284"/>
        <w:contextualSpacing/>
        <w:jc w:val="center"/>
        <w:outlineLvl w:val="0"/>
        <w:rPr>
          <w:rFonts w:ascii="Arial" w:hAnsi="Arial" w:cs="Arial"/>
          <w:b/>
        </w:rPr>
      </w:pPr>
      <w:r w:rsidRPr="000223FC">
        <w:rPr>
          <w:rFonts w:ascii="Arial" w:hAnsi="Arial" w:cs="Arial"/>
          <w:b/>
        </w:rPr>
        <w:t>WRITTEN REPLY</w:t>
      </w:r>
    </w:p>
    <w:p w:rsidR="00CB687F" w:rsidRPr="000223FC" w:rsidRDefault="00CB687F" w:rsidP="00CB687F">
      <w:pPr>
        <w:ind w:right="284"/>
        <w:contextualSpacing/>
        <w:outlineLvl w:val="0"/>
        <w:rPr>
          <w:rFonts w:ascii="Arial" w:hAnsi="Arial" w:cs="Arial"/>
          <w:b/>
        </w:rPr>
      </w:pPr>
    </w:p>
    <w:p w:rsidR="00CB687F" w:rsidRPr="00CB687F" w:rsidRDefault="00CB687F" w:rsidP="00CB687F">
      <w:pPr>
        <w:ind w:right="284"/>
        <w:contextualSpacing/>
        <w:jc w:val="both"/>
        <w:outlineLvl w:val="0"/>
        <w:rPr>
          <w:rFonts w:ascii="Utsaah" w:hAnsi="Utsaah" w:cs="Utsaah"/>
          <w:b/>
          <w:sz w:val="36"/>
          <w:szCs w:val="32"/>
        </w:rPr>
      </w:pPr>
      <w:r w:rsidRPr="00CB687F">
        <w:rPr>
          <w:rFonts w:ascii="Utsaah" w:hAnsi="Utsaah" w:cs="Utsaah"/>
          <w:b/>
          <w:sz w:val="36"/>
          <w:szCs w:val="32"/>
        </w:rPr>
        <w:t xml:space="preserve">QUESTION NO: </w:t>
      </w:r>
      <w:r w:rsidRPr="00CB687F">
        <w:rPr>
          <w:rFonts w:ascii="Utsaah" w:hAnsi="Utsaah" w:cs="Utsaah"/>
          <w:b/>
          <w:bCs/>
          <w:sz w:val="36"/>
          <w:szCs w:val="32"/>
          <w:lang w:val="en-GB"/>
        </w:rPr>
        <w:t>1283</w:t>
      </w:r>
    </w:p>
    <w:p w:rsidR="00CB687F" w:rsidRPr="00CB687F" w:rsidRDefault="00CB687F" w:rsidP="00CB687F">
      <w:pPr>
        <w:ind w:right="284"/>
        <w:contextualSpacing/>
        <w:jc w:val="both"/>
        <w:outlineLvl w:val="0"/>
        <w:rPr>
          <w:rFonts w:ascii="Utsaah" w:hAnsi="Utsaah" w:cs="Utsaah"/>
          <w:b/>
        </w:rPr>
      </w:pPr>
    </w:p>
    <w:p w:rsidR="00CB687F" w:rsidRPr="00CB687F" w:rsidRDefault="00CB687F" w:rsidP="00CB687F">
      <w:pPr>
        <w:ind w:right="284"/>
        <w:contextualSpacing/>
        <w:jc w:val="both"/>
        <w:outlineLvl w:val="0"/>
        <w:rPr>
          <w:rFonts w:ascii="Utsaah" w:hAnsi="Utsaah" w:cs="Utsaah"/>
          <w:b/>
          <w:sz w:val="36"/>
          <w:szCs w:val="32"/>
        </w:rPr>
      </w:pPr>
      <w:r w:rsidRPr="00CB687F">
        <w:rPr>
          <w:rFonts w:ascii="Utsaah" w:hAnsi="Utsaah" w:cs="Utsaah"/>
          <w:b/>
          <w:sz w:val="36"/>
          <w:szCs w:val="32"/>
        </w:rPr>
        <w:t>DATE OF PUBLICATION:  6 May 2016</w:t>
      </w:r>
    </w:p>
    <w:p w:rsidR="00CB687F" w:rsidRPr="00CB687F" w:rsidRDefault="00CB687F" w:rsidP="00CB687F">
      <w:pPr>
        <w:ind w:right="284"/>
        <w:contextualSpacing/>
        <w:jc w:val="both"/>
        <w:outlineLvl w:val="0"/>
        <w:rPr>
          <w:rFonts w:ascii="Utsaah" w:hAnsi="Utsaah" w:cs="Utsaah"/>
          <w:b/>
        </w:rPr>
      </w:pPr>
    </w:p>
    <w:p w:rsidR="00CB687F" w:rsidRPr="00CB687F" w:rsidRDefault="00CB687F" w:rsidP="00CB687F">
      <w:pPr>
        <w:ind w:right="284"/>
        <w:contextualSpacing/>
        <w:jc w:val="both"/>
        <w:outlineLvl w:val="0"/>
        <w:rPr>
          <w:rFonts w:ascii="Utsaah" w:hAnsi="Utsaah" w:cs="Utsaah"/>
          <w:b/>
          <w:sz w:val="36"/>
          <w:szCs w:val="32"/>
        </w:rPr>
      </w:pPr>
      <w:r w:rsidRPr="00CB687F">
        <w:rPr>
          <w:rFonts w:ascii="Utsaah" w:hAnsi="Utsaah" w:cs="Utsaah"/>
          <w:b/>
          <w:sz w:val="36"/>
          <w:szCs w:val="32"/>
        </w:rPr>
        <w:t>QUESTION PAPER NO</w:t>
      </w:r>
      <w:r w:rsidRPr="00CB687F">
        <w:rPr>
          <w:rFonts w:ascii="Utsaah" w:hAnsi="Utsaah" w:cs="Utsaah"/>
          <w:sz w:val="36"/>
          <w:szCs w:val="32"/>
        </w:rPr>
        <w:t xml:space="preserve">: </w:t>
      </w:r>
      <w:r w:rsidRPr="00CB687F">
        <w:rPr>
          <w:rFonts w:ascii="Utsaah" w:hAnsi="Utsaah" w:cs="Utsaah"/>
          <w:b/>
          <w:sz w:val="36"/>
          <w:szCs w:val="32"/>
        </w:rPr>
        <w:t>13</w:t>
      </w:r>
    </w:p>
    <w:p w:rsidR="00CB687F" w:rsidRPr="00CB687F" w:rsidRDefault="00CB687F" w:rsidP="00CB687F">
      <w:pPr>
        <w:ind w:right="284"/>
        <w:contextualSpacing/>
        <w:jc w:val="both"/>
        <w:outlineLvl w:val="0"/>
        <w:rPr>
          <w:rFonts w:ascii="Utsaah" w:hAnsi="Utsaah" w:cs="Utsaah"/>
          <w:b/>
        </w:rPr>
      </w:pPr>
    </w:p>
    <w:p w:rsidR="00CB687F" w:rsidRPr="00CB687F" w:rsidRDefault="00CB687F" w:rsidP="00CB687F">
      <w:pPr>
        <w:ind w:right="284"/>
        <w:contextualSpacing/>
        <w:jc w:val="both"/>
        <w:outlineLvl w:val="0"/>
        <w:rPr>
          <w:rFonts w:ascii="Utsaah" w:hAnsi="Utsaah" w:cs="Utsaah"/>
          <w:b/>
          <w:sz w:val="36"/>
          <w:szCs w:val="32"/>
        </w:rPr>
      </w:pPr>
      <w:r w:rsidRPr="00CB687F">
        <w:rPr>
          <w:rFonts w:ascii="Utsaah" w:hAnsi="Utsaah" w:cs="Utsaah"/>
          <w:b/>
          <w:sz w:val="36"/>
          <w:szCs w:val="32"/>
        </w:rPr>
        <w:t xml:space="preserve">DATE OF REPLY:  </w:t>
      </w:r>
    </w:p>
    <w:p w:rsidR="00CB687F" w:rsidRDefault="00CB687F" w:rsidP="00CB687F">
      <w:pPr>
        <w:jc w:val="both"/>
        <w:rPr>
          <w:rFonts w:ascii="Utsaah" w:hAnsi="Utsaah" w:cs="Utsaah"/>
          <w:b/>
          <w:bCs/>
          <w:sz w:val="36"/>
          <w:szCs w:val="32"/>
          <w:lang w:val="en-GB"/>
        </w:rPr>
      </w:pPr>
    </w:p>
    <w:p w:rsidR="00CB687F" w:rsidRPr="004B6ECF" w:rsidRDefault="00CB687F" w:rsidP="00CB687F">
      <w:pPr>
        <w:jc w:val="both"/>
        <w:rPr>
          <w:rFonts w:ascii="Arial" w:hAnsi="Arial" w:cs="Arial"/>
          <w:sz w:val="32"/>
          <w:szCs w:val="32"/>
          <w:lang w:val="en-GB"/>
        </w:rPr>
      </w:pPr>
      <w:r w:rsidRPr="004B6ECF">
        <w:rPr>
          <w:rFonts w:ascii="Arial" w:hAnsi="Arial" w:cs="Arial"/>
          <w:b/>
          <w:bCs/>
          <w:sz w:val="32"/>
          <w:szCs w:val="32"/>
          <w:lang w:val="en-GB"/>
        </w:rPr>
        <w:t>Mrs M R Shinn (DA) to ask the Minister of Telecommunications and Postal Services:</w:t>
      </w:r>
    </w:p>
    <w:p w:rsidR="00CB687F" w:rsidRPr="004B6ECF" w:rsidRDefault="00CB687F" w:rsidP="00CB687F">
      <w:pPr>
        <w:pStyle w:val="ListParagraph"/>
        <w:numPr>
          <w:ilvl w:val="0"/>
          <w:numId w:val="2"/>
        </w:numPr>
        <w:spacing w:before="100" w:beforeAutospacing="1" w:after="100" w:afterAutospacing="1"/>
        <w:jc w:val="both"/>
        <w:rPr>
          <w:rFonts w:ascii="Arial" w:hAnsi="Arial" w:cs="Arial"/>
          <w:sz w:val="32"/>
          <w:szCs w:val="32"/>
          <w:lang w:val="en-GB"/>
        </w:rPr>
      </w:pPr>
      <w:r w:rsidRPr="004B6ECF">
        <w:rPr>
          <w:rFonts w:ascii="Arial" w:hAnsi="Arial" w:cs="Arial"/>
          <w:sz w:val="32"/>
          <w:szCs w:val="32"/>
          <w:lang w:val="en-GB"/>
        </w:rPr>
        <w:t>(a) How much funding has been allocated for the Virtual Cyber Security Hub hosted by the Council for Scientific and Industrial Research for the 2016-17 financial year and (b) what are the specific deliverables that the specified hub must deliver against these funds;</w:t>
      </w:r>
    </w:p>
    <w:p w:rsidR="00CB687F" w:rsidRPr="004B6ECF" w:rsidRDefault="00CB687F" w:rsidP="00CB687F">
      <w:pPr>
        <w:pStyle w:val="ListParagraph"/>
        <w:numPr>
          <w:ilvl w:val="0"/>
          <w:numId w:val="2"/>
        </w:numPr>
        <w:spacing w:before="100" w:beforeAutospacing="1" w:after="100" w:afterAutospacing="1"/>
        <w:jc w:val="both"/>
        <w:rPr>
          <w:rFonts w:ascii="Arial" w:hAnsi="Arial" w:cs="Arial"/>
          <w:sz w:val="32"/>
          <w:szCs w:val="32"/>
          <w:lang w:val="en-GB"/>
        </w:rPr>
      </w:pPr>
      <w:r w:rsidRPr="004B6ECF">
        <w:rPr>
          <w:rFonts w:ascii="Arial" w:hAnsi="Arial" w:cs="Arial"/>
          <w:sz w:val="32"/>
          <w:szCs w:val="32"/>
          <w:lang w:val="en-GB"/>
        </w:rPr>
        <w:t>(a) how much funding has been allocated for the specified hub for the (i) 2017-18 and (ii) 2018-19 financial years and (b) what items and programmes will the funding be spent on in each of the specified years;</w:t>
      </w:r>
    </w:p>
    <w:p w:rsidR="000F26FE" w:rsidRPr="004B6ECF" w:rsidRDefault="000F26FE" w:rsidP="000F26FE">
      <w:pPr>
        <w:pStyle w:val="ListParagraph"/>
        <w:spacing w:before="100" w:beforeAutospacing="1" w:after="100" w:afterAutospacing="1"/>
        <w:ind w:left="510"/>
        <w:jc w:val="both"/>
        <w:rPr>
          <w:rFonts w:ascii="Arial" w:hAnsi="Arial" w:cs="Arial"/>
          <w:sz w:val="32"/>
          <w:szCs w:val="32"/>
          <w:lang w:val="en-GB"/>
        </w:rPr>
      </w:pPr>
    </w:p>
    <w:p w:rsidR="00CB687F" w:rsidRPr="004B6ECF" w:rsidRDefault="00CB687F" w:rsidP="00CB687F">
      <w:pPr>
        <w:pStyle w:val="ListParagraph"/>
        <w:numPr>
          <w:ilvl w:val="0"/>
          <w:numId w:val="2"/>
        </w:numPr>
        <w:spacing w:before="100" w:beforeAutospacing="1" w:after="100" w:afterAutospacing="1"/>
        <w:jc w:val="both"/>
        <w:rPr>
          <w:rFonts w:ascii="Arial" w:hAnsi="Arial" w:cs="Arial"/>
          <w:sz w:val="32"/>
          <w:szCs w:val="32"/>
          <w:lang w:val="en-GB"/>
        </w:rPr>
      </w:pPr>
      <w:r w:rsidRPr="004B6ECF">
        <w:rPr>
          <w:rFonts w:ascii="Arial" w:hAnsi="Arial" w:cs="Arial"/>
          <w:sz w:val="32"/>
          <w:szCs w:val="32"/>
          <w:lang w:val="en-GB"/>
        </w:rPr>
        <w:t>whether his department is the sole funder of the specified hub; if not, (a) what is the name of any other funder, (b) what is the financial contribution of each other funder and (c) what are the specific items and programmes to be delivered against these funds in each case, respectively; if so, what is the position in this regard;</w:t>
      </w:r>
    </w:p>
    <w:p w:rsidR="000F26FE" w:rsidRPr="004B6ECF" w:rsidRDefault="00B00003" w:rsidP="000F26FE">
      <w:pPr>
        <w:pStyle w:val="ListParagraph"/>
        <w:spacing w:before="100" w:beforeAutospacing="1" w:after="100" w:afterAutospacing="1"/>
        <w:ind w:left="510"/>
        <w:jc w:val="both"/>
        <w:rPr>
          <w:rFonts w:ascii="Arial" w:hAnsi="Arial" w:cs="Arial"/>
          <w:sz w:val="32"/>
          <w:szCs w:val="32"/>
          <w:lang w:val="en-GB"/>
        </w:rPr>
      </w:pPr>
      <w:r>
        <w:rPr>
          <w:rFonts w:ascii="Arial" w:hAnsi="Arial" w:cs="Arial"/>
          <w:sz w:val="32"/>
          <w:szCs w:val="32"/>
          <w:lang w:val="en-GB"/>
        </w:rPr>
        <w:t xml:space="preserve"> </w:t>
      </w:r>
    </w:p>
    <w:p w:rsidR="000F26FE" w:rsidRPr="004B6ECF" w:rsidRDefault="00CB687F" w:rsidP="00CB687F">
      <w:pPr>
        <w:pStyle w:val="ListParagraph"/>
        <w:numPr>
          <w:ilvl w:val="0"/>
          <w:numId w:val="2"/>
        </w:numPr>
        <w:spacing w:before="100" w:beforeAutospacing="1" w:after="100" w:afterAutospacing="1"/>
        <w:jc w:val="both"/>
        <w:rPr>
          <w:rFonts w:ascii="Arial" w:hAnsi="Arial" w:cs="Arial"/>
          <w:sz w:val="32"/>
          <w:szCs w:val="32"/>
          <w:lang w:val="en-GB"/>
        </w:rPr>
      </w:pPr>
      <w:r w:rsidRPr="004B6ECF">
        <w:rPr>
          <w:rFonts w:ascii="Arial" w:hAnsi="Arial" w:cs="Arial"/>
          <w:sz w:val="32"/>
          <w:szCs w:val="32"/>
          <w:lang w:val="en-GB"/>
        </w:rPr>
        <w:t xml:space="preserve">(a) </w:t>
      </w:r>
      <w:r w:rsidR="004B6ECF" w:rsidRPr="004B6ECF">
        <w:rPr>
          <w:rFonts w:ascii="Arial" w:hAnsi="Arial" w:cs="Arial"/>
          <w:sz w:val="32"/>
          <w:szCs w:val="32"/>
          <w:lang w:val="en-GB"/>
        </w:rPr>
        <w:t>How</w:t>
      </w:r>
      <w:r w:rsidRPr="004B6ECF">
        <w:rPr>
          <w:rFonts w:ascii="Arial" w:hAnsi="Arial" w:cs="Arial"/>
          <w:sz w:val="32"/>
          <w:szCs w:val="32"/>
          <w:lang w:val="en-GB"/>
        </w:rPr>
        <w:t xml:space="preserve"> much did his department spend in each year that it contributed to the specified hub and (b) what items and programmes were these funds spent on in each specified year?      </w:t>
      </w:r>
    </w:p>
    <w:p w:rsidR="00CB687F" w:rsidRPr="004B6ECF" w:rsidRDefault="00CB687F" w:rsidP="00B463BE">
      <w:pPr>
        <w:pStyle w:val="ListParagraph"/>
        <w:spacing w:before="100" w:beforeAutospacing="1" w:after="100" w:afterAutospacing="1"/>
        <w:ind w:left="510"/>
        <w:jc w:val="both"/>
        <w:rPr>
          <w:rFonts w:ascii="Arial" w:hAnsi="Arial" w:cs="Arial"/>
          <w:b/>
          <w:sz w:val="32"/>
          <w:szCs w:val="32"/>
          <w:u w:val="single"/>
          <w:lang w:val="en-GB"/>
        </w:rPr>
      </w:pPr>
      <w:r w:rsidRPr="004B6ECF">
        <w:rPr>
          <w:rFonts w:ascii="Arial" w:hAnsi="Arial" w:cs="Arial"/>
          <w:sz w:val="32"/>
          <w:szCs w:val="32"/>
          <w:lang w:val="en-GB"/>
        </w:rPr>
        <w:lastRenderedPageBreak/>
        <w:t>  </w:t>
      </w:r>
      <w:r w:rsidRPr="004B6ECF">
        <w:rPr>
          <w:rFonts w:ascii="Arial" w:hAnsi="Arial" w:cs="Arial"/>
          <w:b/>
          <w:sz w:val="32"/>
          <w:szCs w:val="32"/>
          <w:u w:val="single"/>
          <w:lang w:val="en-GB"/>
        </w:rPr>
        <w:t>REPLY:</w:t>
      </w:r>
    </w:p>
    <w:p w:rsidR="00FC6735" w:rsidRPr="004B6ECF" w:rsidRDefault="00FC6735" w:rsidP="00B463BE">
      <w:pPr>
        <w:pStyle w:val="ListParagraph"/>
        <w:spacing w:before="100" w:beforeAutospacing="1" w:after="100" w:afterAutospacing="1"/>
        <w:ind w:left="510"/>
        <w:jc w:val="both"/>
        <w:rPr>
          <w:rFonts w:ascii="Arial" w:hAnsi="Arial" w:cs="Arial"/>
          <w:b/>
          <w:sz w:val="32"/>
          <w:szCs w:val="32"/>
          <w:u w:val="single"/>
          <w:lang w:val="en-GB"/>
        </w:rPr>
      </w:pPr>
    </w:p>
    <w:p w:rsidR="00FC6735" w:rsidRPr="004B6ECF" w:rsidRDefault="00FC6735" w:rsidP="00B463BE">
      <w:pPr>
        <w:pStyle w:val="ListParagraph"/>
        <w:spacing w:before="100" w:beforeAutospacing="1" w:after="100" w:afterAutospacing="1"/>
        <w:ind w:left="510"/>
        <w:jc w:val="both"/>
        <w:rPr>
          <w:rFonts w:ascii="Arial" w:hAnsi="Arial" w:cs="Arial"/>
          <w:b/>
          <w:sz w:val="32"/>
          <w:szCs w:val="32"/>
          <w:lang w:val="en-GB"/>
        </w:rPr>
      </w:pPr>
      <w:r w:rsidRPr="004B6ECF">
        <w:rPr>
          <w:rFonts w:ascii="Arial" w:hAnsi="Arial" w:cs="Arial"/>
          <w:b/>
          <w:sz w:val="32"/>
          <w:szCs w:val="32"/>
          <w:lang w:val="en-GB"/>
        </w:rPr>
        <w:t>I have been advised by the Department as follows:-</w:t>
      </w:r>
    </w:p>
    <w:p w:rsidR="00CB687F" w:rsidRPr="004B6ECF" w:rsidRDefault="00CB687F" w:rsidP="00CB687F">
      <w:pPr>
        <w:spacing w:before="100" w:beforeAutospacing="1" w:after="100" w:afterAutospacing="1"/>
        <w:ind w:left="851" w:hanging="851"/>
        <w:jc w:val="both"/>
        <w:rPr>
          <w:rFonts w:ascii="Arial" w:hAnsi="Arial" w:cs="Arial"/>
          <w:sz w:val="32"/>
          <w:szCs w:val="32"/>
          <w:lang w:val="en-GB"/>
        </w:rPr>
      </w:pPr>
      <w:r w:rsidRPr="004B6ECF">
        <w:rPr>
          <w:rFonts w:ascii="Arial" w:hAnsi="Arial" w:cs="Arial"/>
          <w:sz w:val="32"/>
          <w:szCs w:val="32"/>
          <w:lang w:val="en-GB"/>
        </w:rPr>
        <w:t xml:space="preserve">(1)(a) </w:t>
      </w:r>
      <w:r w:rsidRPr="004B6ECF">
        <w:rPr>
          <w:rFonts w:ascii="Arial" w:hAnsi="Arial" w:cs="Arial"/>
          <w:sz w:val="32"/>
          <w:szCs w:val="32"/>
          <w:lang w:val="en-GB"/>
        </w:rPr>
        <w:tab/>
        <w:t>The amount allocated to the Cybersecurity Hub for the 2016/2017 financial year is R 16, 418, 000.00</w:t>
      </w:r>
    </w:p>
    <w:p w:rsidR="00CB687F" w:rsidRPr="004B6ECF" w:rsidRDefault="00CB687F" w:rsidP="00CB687F">
      <w:pPr>
        <w:pStyle w:val="ListParagraph"/>
        <w:tabs>
          <w:tab w:val="left" w:pos="851"/>
        </w:tabs>
        <w:spacing w:before="120" w:after="120"/>
        <w:ind w:left="284"/>
        <w:contextualSpacing w:val="0"/>
        <w:rPr>
          <w:rFonts w:ascii="Arial" w:hAnsi="Arial" w:cs="Arial"/>
          <w:sz w:val="32"/>
          <w:szCs w:val="32"/>
          <w:lang w:val="en-US"/>
        </w:rPr>
      </w:pPr>
      <w:r w:rsidRPr="004B6ECF">
        <w:rPr>
          <w:rFonts w:ascii="Arial" w:hAnsi="Arial" w:cs="Arial"/>
          <w:sz w:val="32"/>
          <w:szCs w:val="32"/>
          <w:lang w:val="en-US"/>
        </w:rPr>
        <w:t xml:space="preserve">(b) </w:t>
      </w:r>
      <w:r w:rsidRPr="004B6ECF">
        <w:rPr>
          <w:rFonts w:ascii="Arial" w:hAnsi="Arial" w:cs="Arial"/>
          <w:sz w:val="32"/>
          <w:szCs w:val="32"/>
          <w:lang w:val="en-US"/>
        </w:rPr>
        <w:tab/>
        <w:t>Specific deliverables include</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 xml:space="preserve">Formalise engagements with stakeholder, which supports the sharing and technical integration of cybersecurity incident information </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Operationalisation of the Proactive and Reactive services</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Increased functionality of Hub’s tools</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 xml:space="preserve">Assist in the enablement and establishment of sector CERTs </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Dissemination of incident and thereat information to stakeholders</w:t>
      </w:r>
    </w:p>
    <w:p w:rsidR="00CB687F" w:rsidRPr="004B6ECF" w:rsidRDefault="00CB687F" w:rsidP="00CB687F">
      <w:pPr>
        <w:pStyle w:val="ListParagraph"/>
        <w:numPr>
          <w:ilvl w:val="0"/>
          <w:numId w:val="3"/>
        </w:numPr>
        <w:tabs>
          <w:tab w:val="left" w:pos="1701"/>
        </w:tabs>
        <w:spacing w:before="120" w:after="120" w:line="240" w:lineRule="auto"/>
        <w:ind w:left="1701" w:hanging="567"/>
        <w:contextualSpacing w:val="0"/>
        <w:rPr>
          <w:rFonts w:ascii="Arial" w:hAnsi="Arial" w:cs="Arial"/>
          <w:sz w:val="32"/>
          <w:szCs w:val="32"/>
          <w:lang w:val="en-GB"/>
        </w:rPr>
      </w:pPr>
      <w:r w:rsidRPr="004B6ECF">
        <w:rPr>
          <w:rFonts w:ascii="Arial" w:hAnsi="Arial" w:cs="Arial"/>
          <w:sz w:val="32"/>
          <w:szCs w:val="32"/>
          <w:lang w:val="en-GB"/>
        </w:rPr>
        <w:t>Undertaking of a cybersecurity awareness programs which includes upgrade of the Hub’s website functionality</w:t>
      </w:r>
    </w:p>
    <w:p w:rsidR="00CB687F" w:rsidRPr="004B6ECF" w:rsidRDefault="00CB687F" w:rsidP="00CB687F">
      <w:pPr>
        <w:tabs>
          <w:tab w:val="left" w:pos="1134"/>
        </w:tabs>
        <w:spacing w:before="100" w:beforeAutospacing="1" w:after="100" w:afterAutospacing="1"/>
        <w:ind w:left="1134" w:hanging="1134"/>
        <w:jc w:val="both"/>
        <w:rPr>
          <w:rFonts w:ascii="Arial" w:hAnsi="Arial" w:cs="Arial"/>
          <w:sz w:val="32"/>
          <w:szCs w:val="32"/>
          <w:lang w:val="en-GB"/>
        </w:rPr>
      </w:pPr>
      <w:r w:rsidRPr="004B6ECF">
        <w:rPr>
          <w:rFonts w:ascii="Arial" w:hAnsi="Arial" w:cs="Arial"/>
          <w:sz w:val="32"/>
          <w:szCs w:val="32"/>
          <w:lang w:val="en-GB"/>
        </w:rPr>
        <w:t xml:space="preserve">(2)(a)(i) </w:t>
      </w:r>
      <w:r w:rsidRPr="004B6ECF">
        <w:rPr>
          <w:rFonts w:ascii="Arial" w:hAnsi="Arial" w:cs="Arial"/>
          <w:sz w:val="32"/>
          <w:szCs w:val="32"/>
          <w:lang w:val="en-GB"/>
        </w:rPr>
        <w:tab/>
        <w:t>In the 2017/2018 financial year R 15, 325, 000.00 has been allocated</w:t>
      </w:r>
    </w:p>
    <w:p w:rsidR="00CB687F" w:rsidRPr="004B6ECF" w:rsidRDefault="00CB687F" w:rsidP="00CB687F">
      <w:pPr>
        <w:tabs>
          <w:tab w:val="left" w:pos="1134"/>
        </w:tabs>
        <w:spacing w:before="100" w:beforeAutospacing="1" w:after="100" w:afterAutospacing="1"/>
        <w:ind w:left="1560" w:hanging="992"/>
        <w:jc w:val="both"/>
        <w:rPr>
          <w:rFonts w:ascii="Arial" w:hAnsi="Arial" w:cs="Arial"/>
          <w:sz w:val="32"/>
          <w:szCs w:val="32"/>
          <w:lang w:val="en-GB"/>
        </w:rPr>
      </w:pPr>
      <w:r w:rsidRPr="004B6ECF">
        <w:rPr>
          <w:rFonts w:ascii="Arial" w:hAnsi="Arial" w:cs="Arial"/>
          <w:sz w:val="32"/>
          <w:szCs w:val="32"/>
          <w:lang w:val="en-GB"/>
        </w:rPr>
        <w:t xml:space="preserve">(ii) </w:t>
      </w:r>
      <w:r w:rsidRPr="004B6ECF">
        <w:rPr>
          <w:rFonts w:ascii="Arial" w:hAnsi="Arial" w:cs="Arial"/>
          <w:sz w:val="32"/>
          <w:szCs w:val="32"/>
          <w:lang w:val="en-GB"/>
        </w:rPr>
        <w:tab/>
        <w:t>In the 2018/2019 financial year R 12, 297, 000.00has been allocated</w:t>
      </w:r>
    </w:p>
    <w:p w:rsidR="00CB687F" w:rsidRPr="004B6ECF" w:rsidRDefault="00CB687F" w:rsidP="00CB687F">
      <w:pPr>
        <w:spacing w:before="100" w:beforeAutospacing="1" w:after="100" w:afterAutospacing="1"/>
        <w:ind w:left="1134"/>
        <w:jc w:val="both"/>
        <w:rPr>
          <w:rFonts w:ascii="Arial" w:hAnsi="Arial" w:cs="Arial"/>
          <w:sz w:val="32"/>
          <w:szCs w:val="32"/>
          <w:lang w:val="en-GB"/>
        </w:rPr>
      </w:pPr>
      <w:r w:rsidRPr="004B6ECF">
        <w:rPr>
          <w:rFonts w:ascii="Arial" w:hAnsi="Arial" w:cs="Arial"/>
          <w:sz w:val="32"/>
          <w:szCs w:val="32"/>
          <w:lang w:val="en-GB"/>
        </w:rPr>
        <w:t>It should be noted that the allocated budget for these two financial years</w:t>
      </w:r>
      <w:r w:rsidR="00AC6BAE">
        <w:rPr>
          <w:rFonts w:ascii="Arial" w:hAnsi="Arial" w:cs="Arial"/>
          <w:sz w:val="32"/>
          <w:szCs w:val="32"/>
          <w:lang w:val="en-GB"/>
        </w:rPr>
        <w:t xml:space="preserve"> </w:t>
      </w:r>
      <w:r w:rsidRPr="004B6ECF">
        <w:rPr>
          <w:rFonts w:ascii="Arial" w:hAnsi="Arial" w:cs="Arial"/>
          <w:sz w:val="32"/>
          <w:szCs w:val="32"/>
          <w:lang w:val="en-GB"/>
        </w:rPr>
        <w:t>are subject to change as the MTSF is yet to be finalised.</w:t>
      </w:r>
    </w:p>
    <w:p w:rsidR="00CB687F" w:rsidRPr="004B6ECF" w:rsidRDefault="00CB687F" w:rsidP="00CB687F">
      <w:pPr>
        <w:pStyle w:val="ListParagraph"/>
        <w:spacing w:before="120" w:after="120"/>
        <w:ind w:left="1055" w:hanging="771"/>
        <w:contextualSpacing w:val="0"/>
        <w:rPr>
          <w:rFonts w:ascii="Arial" w:hAnsi="Arial" w:cs="Arial"/>
          <w:sz w:val="32"/>
          <w:szCs w:val="32"/>
          <w:lang w:val="en-US"/>
        </w:rPr>
      </w:pPr>
      <w:r w:rsidRPr="004B6ECF">
        <w:rPr>
          <w:rFonts w:ascii="Arial" w:hAnsi="Arial" w:cs="Arial"/>
          <w:sz w:val="32"/>
          <w:szCs w:val="32"/>
          <w:lang w:val="en-US"/>
        </w:rPr>
        <w:t xml:space="preserve"> (b) </w:t>
      </w:r>
      <w:r w:rsidRPr="004B6ECF">
        <w:rPr>
          <w:rFonts w:ascii="Arial" w:hAnsi="Arial" w:cs="Arial"/>
          <w:sz w:val="32"/>
          <w:szCs w:val="32"/>
          <w:lang w:val="en-US"/>
        </w:rPr>
        <w:tab/>
        <w:t>The monies will be used as follows:</w:t>
      </w:r>
    </w:p>
    <w:p w:rsidR="00CB687F" w:rsidRPr="004B6ECF" w:rsidRDefault="00CB687F" w:rsidP="00CB687F">
      <w:pPr>
        <w:pStyle w:val="ListParagraph"/>
        <w:numPr>
          <w:ilvl w:val="0"/>
          <w:numId w:val="4"/>
        </w:numPr>
        <w:tabs>
          <w:tab w:val="left" w:pos="1701"/>
        </w:tabs>
        <w:spacing w:before="120" w:after="120"/>
        <w:ind w:left="1701" w:hanging="567"/>
        <w:rPr>
          <w:rFonts w:ascii="Arial" w:hAnsi="Arial" w:cs="Arial"/>
          <w:sz w:val="32"/>
          <w:szCs w:val="32"/>
          <w:lang w:val="en-GB"/>
        </w:rPr>
      </w:pPr>
      <w:r w:rsidRPr="004B6ECF">
        <w:rPr>
          <w:rFonts w:ascii="Arial" w:hAnsi="Arial" w:cs="Arial"/>
          <w:sz w:val="32"/>
          <w:szCs w:val="32"/>
          <w:lang w:val="en-GB"/>
        </w:rPr>
        <w:t>Obtaining international certification for the Hub</w:t>
      </w:r>
    </w:p>
    <w:p w:rsidR="00CB687F" w:rsidRPr="004B6ECF" w:rsidRDefault="00CB687F" w:rsidP="00CB687F">
      <w:pPr>
        <w:pStyle w:val="ListParagraph"/>
        <w:numPr>
          <w:ilvl w:val="0"/>
          <w:numId w:val="4"/>
        </w:numPr>
        <w:tabs>
          <w:tab w:val="left" w:pos="1701"/>
        </w:tabs>
        <w:spacing w:before="120" w:after="120"/>
        <w:ind w:left="1701" w:hanging="567"/>
        <w:rPr>
          <w:rFonts w:ascii="Arial" w:hAnsi="Arial" w:cs="Arial"/>
          <w:sz w:val="32"/>
          <w:szCs w:val="32"/>
          <w:lang w:val="en-GB"/>
        </w:rPr>
      </w:pPr>
      <w:r w:rsidRPr="004B6ECF">
        <w:rPr>
          <w:rFonts w:ascii="Arial" w:hAnsi="Arial" w:cs="Arial"/>
          <w:sz w:val="32"/>
          <w:szCs w:val="32"/>
          <w:lang w:val="en-GB"/>
        </w:rPr>
        <w:t>Establishment of both private and public sector industry specific CERTs</w:t>
      </w:r>
    </w:p>
    <w:p w:rsidR="00CB687F" w:rsidRPr="004B6ECF" w:rsidRDefault="00CB687F" w:rsidP="00CB687F">
      <w:pPr>
        <w:pStyle w:val="ListParagraph"/>
        <w:numPr>
          <w:ilvl w:val="0"/>
          <w:numId w:val="4"/>
        </w:numPr>
        <w:tabs>
          <w:tab w:val="left" w:pos="1701"/>
        </w:tabs>
        <w:spacing w:before="120" w:after="120"/>
        <w:ind w:left="1701" w:hanging="567"/>
        <w:rPr>
          <w:rFonts w:ascii="Arial" w:hAnsi="Arial" w:cs="Arial"/>
          <w:sz w:val="32"/>
          <w:szCs w:val="32"/>
          <w:lang w:val="en-GB"/>
        </w:rPr>
      </w:pPr>
      <w:r w:rsidRPr="004B6ECF">
        <w:rPr>
          <w:rFonts w:ascii="Arial" w:hAnsi="Arial" w:cs="Arial"/>
          <w:sz w:val="32"/>
          <w:szCs w:val="32"/>
          <w:lang w:val="en-GB"/>
        </w:rPr>
        <w:lastRenderedPageBreak/>
        <w:t xml:space="preserve">Integration of incident information </w:t>
      </w:r>
    </w:p>
    <w:p w:rsidR="00CB687F" w:rsidRPr="004B6ECF" w:rsidRDefault="00CB687F" w:rsidP="00CB687F">
      <w:pPr>
        <w:pStyle w:val="ListParagraph"/>
        <w:numPr>
          <w:ilvl w:val="0"/>
          <w:numId w:val="4"/>
        </w:numPr>
        <w:tabs>
          <w:tab w:val="left" w:pos="1701"/>
        </w:tabs>
        <w:spacing w:before="120" w:after="120"/>
        <w:ind w:left="1701" w:hanging="567"/>
        <w:rPr>
          <w:rFonts w:ascii="Arial" w:hAnsi="Arial" w:cs="Arial"/>
          <w:sz w:val="32"/>
          <w:szCs w:val="32"/>
          <w:lang w:val="en-GB"/>
        </w:rPr>
      </w:pPr>
      <w:r w:rsidRPr="004B6ECF">
        <w:rPr>
          <w:rFonts w:ascii="Arial" w:hAnsi="Arial" w:cs="Arial"/>
          <w:sz w:val="32"/>
          <w:szCs w:val="32"/>
          <w:lang w:val="en-GB"/>
        </w:rPr>
        <w:t>Development and deployment of cybersecurity audit and readiness tools</w:t>
      </w:r>
    </w:p>
    <w:p w:rsidR="00CB687F" w:rsidRPr="004B6ECF" w:rsidRDefault="00CB687F" w:rsidP="00CB687F">
      <w:pPr>
        <w:pStyle w:val="ListParagraph"/>
        <w:numPr>
          <w:ilvl w:val="0"/>
          <w:numId w:val="4"/>
        </w:numPr>
        <w:tabs>
          <w:tab w:val="left" w:pos="1701"/>
        </w:tabs>
        <w:spacing w:before="120" w:after="120"/>
        <w:ind w:left="1701" w:hanging="567"/>
        <w:rPr>
          <w:rFonts w:ascii="Arial" w:hAnsi="Arial" w:cs="Arial"/>
          <w:sz w:val="32"/>
          <w:szCs w:val="32"/>
          <w:lang w:val="en-GB"/>
        </w:rPr>
      </w:pPr>
      <w:r w:rsidRPr="004B6ECF">
        <w:rPr>
          <w:rFonts w:ascii="Arial" w:hAnsi="Arial" w:cs="Arial"/>
          <w:sz w:val="32"/>
          <w:szCs w:val="32"/>
          <w:lang w:val="en-GB"/>
        </w:rPr>
        <w:t>Ongoing awareness programs</w:t>
      </w:r>
    </w:p>
    <w:p w:rsidR="00CB687F" w:rsidRPr="004B6ECF" w:rsidRDefault="00CB687F" w:rsidP="00B463BE">
      <w:pPr>
        <w:tabs>
          <w:tab w:val="left" w:pos="1134"/>
        </w:tabs>
        <w:jc w:val="both"/>
        <w:rPr>
          <w:rFonts w:ascii="Arial" w:hAnsi="Arial" w:cs="Arial"/>
          <w:sz w:val="32"/>
          <w:szCs w:val="32"/>
          <w:lang w:val="en-GB"/>
        </w:rPr>
      </w:pPr>
      <w:r w:rsidRPr="004B6ECF">
        <w:rPr>
          <w:rFonts w:ascii="Arial" w:hAnsi="Arial" w:cs="Arial"/>
          <w:sz w:val="32"/>
          <w:szCs w:val="32"/>
          <w:lang w:val="en-GB"/>
        </w:rPr>
        <w:t xml:space="preserve">(3)(a) </w:t>
      </w:r>
      <w:r w:rsidRPr="004B6ECF">
        <w:rPr>
          <w:rFonts w:ascii="Arial" w:hAnsi="Arial" w:cs="Arial"/>
          <w:sz w:val="32"/>
          <w:szCs w:val="32"/>
          <w:lang w:val="en-GB"/>
        </w:rPr>
        <w:tab/>
        <w:t>The Department is the sole funder of the Hub</w:t>
      </w:r>
    </w:p>
    <w:p w:rsidR="00CB687F" w:rsidRPr="004B6ECF" w:rsidRDefault="00CB687F" w:rsidP="00CB687F">
      <w:pPr>
        <w:tabs>
          <w:tab w:val="left" w:pos="1134"/>
        </w:tabs>
        <w:ind w:left="284"/>
        <w:jc w:val="both"/>
        <w:rPr>
          <w:rFonts w:ascii="Arial" w:hAnsi="Arial" w:cs="Arial"/>
          <w:sz w:val="32"/>
          <w:szCs w:val="32"/>
          <w:lang w:val="en-GB"/>
        </w:rPr>
      </w:pPr>
      <w:r w:rsidRPr="004B6ECF">
        <w:rPr>
          <w:rFonts w:ascii="Arial" w:hAnsi="Arial" w:cs="Arial"/>
          <w:sz w:val="32"/>
          <w:szCs w:val="32"/>
          <w:lang w:val="en-GB"/>
        </w:rPr>
        <w:t>(b)</w:t>
      </w:r>
      <w:r w:rsidRPr="004B6ECF">
        <w:rPr>
          <w:rFonts w:ascii="Arial" w:hAnsi="Arial" w:cs="Arial"/>
          <w:sz w:val="32"/>
          <w:szCs w:val="32"/>
          <w:lang w:val="en-GB"/>
        </w:rPr>
        <w:tab/>
        <w:t>N/A</w:t>
      </w:r>
    </w:p>
    <w:p w:rsidR="00CB687F" w:rsidRPr="004B6ECF" w:rsidRDefault="00CB687F" w:rsidP="00CB687F">
      <w:pPr>
        <w:ind w:left="1134" w:hanging="850"/>
        <w:jc w:val="both"/>
        <w:rPr>
          <w:rFonts w:ascii="Arial" w:hAnsi="Arial" w:cs="Arial"/>
          <w:sz w:val="32"/>
          <w:szCs w:val="32"/>
          <w:lang w:val="en-GB"/>
        </w:rPr>
      </w:pPr>
      <w:r w:rsidRPr="004B6ECF">
        <w:rPr>
          <w:rFonts w:ascii="Arial" w:hAnsi="Arial" w:cs="Arial"/>
          <w:sz w:val="32"/>
          <w:szCs w:val="32"/>
          <w:lang w:val="en-GB"/>
        </w:rPr>
        <w:t>(c)</w:t>
      </w:r>
      <w:r w:rsidRPr="004B6ECF">
        <w:rPr>
          <w:rFonts w:ascii="Arial" w:hAnsi="Arial" w:cs="Arial"/>
          <w:sz w:val="32"/>
          <w:szCs w:val="32"/>
          <w:lang w:val="en-GB"/>
        </w:rPr>
        <w:tab/>
        <w:t>N/A</w:t>
      </w:r>
    </w:p>
    <w:p w:rsidR="00CB687F" w:rsidRPr="004B6ECF" w:rsidRDefault="00CB687F" w:rsidP="00CB687F">
      <w:pPr>
        <w:ind w:left="1134" w:hanging="850"/>
        <w:jc w:val="both"/>
        <w:rPr>
          <w:rFonts w:ascii="Arial" w:hAnsi="Arial" w:cs="Arial"/>
          <w:sz w:val="32"/>
          <w:szCs w:val="32"/>
          <w:lang w:val="en-GB"/>
        </w:rPr>
      </w:pPr>
    </w:p>
    <w:p w:rsidR="00CB687F" w:rsidRPr="004B6ECF" w:rsidRDefault="00CB687F" w:rsidP="00CB687F">
      <w:pPr>
        <w:ind w:left="1134" w:hanging="1134"/>
        <w:jc w:val="both"/>
        <w:rPr>
          <w:rFonts w:ascii="Arial" w:hAnsi="Arial" w:cs="Arial"/>
          <w:sz w:val="32"/>
          <w:szCs w:val="32"/>
          <w:lang w:val="en-GB"/>
        </w:rPr>
      </w:pPr>
      <w:r w:rsidRPr="004B6ECF">
        <w:rPr>
          <w:rFonts w:ascii="Arial" w:hAnsi="Arial" w:cs="Arial"/>
          <w:sz w:val="32"/>
          <w:szCs w:val="32"/>
          <w:lang w:val="en-GB"/>
        </w:rPr>
        <w:t>(4)(a)</w:t>
      </w:r>
      <w:r w:rsidRPr="004B6ECF">
        <w:rPr>
          <w:rFonts w:ascii="Arial" w:hAnsi="Arial" w:cs="Arial"/>
          <w:sz w:val="32"/>
          <w:szCs w:val="32"/>
          <w:lang w:val="en-GB"/>
        </w:rPr>
        <w:tab/>
        <w:t xml:space="preserve">In the 2014/2015 financial year R 18 533 013 was allocated </w:t>
      </w:r>
    </w:p>
    <w:p w:rsidR="00CB687F" w:rsidRPr="004B6ECF" w:rsidRDefault="00CB687F" w:rsidP="00CB687F">
      <w:pPr>
        <w:ind w:left="1134"/>
        <w:jc w:val="both"/>
        <w:rPr>
          <w:rFonts w:ascii="Arial" w:hAnsi="Arial" w:cs="Arial"/>
          <w:sz w:val="32"/>
          <w:szCs w:val="32"/>
          <w:lang w:val="en-GB"/>
        </w:rPr>
      </w:pPr>
      <w:r w:rsidRPr="004B6ECF">
        <w:rPr>
          <w:rFonts w:ascii="Arial" w:hAnsi="Arial" w:cs="Arial"/>
          <w:sz w:val="32"/>
          <w:szCs w:val="32"/>
          <w:lang w:val="en-GB"/>
        </w:rPr>
        <w:t>In the 2015/2016 financial year R 15 156 157 was allocated</w:t>
      </w:r>
    </w:p>
    <w:p w:rsidR="00CB687F" w:rsidRPr="004B6ECF" w:rsidRDefault="00CB687F" w:rsidP="00CB687F">
      <w:pPr>
        <w:pStyle w:val="ListParagraph"/>
        <w:spacing w:before="120" w:after="120"/>
        <w:ind w:left="1134" w:hanging="992"/>
        <w:contextualSpacing w:val="0"/>
        <w:rPr>
          <w:rFonts w:ascii="Arial" w:hAnsi="Arial" w:cs="Arial"/>
          <w:sz w:val="32"/>
          <w:szCs w:val="32"/>
          <w:lang w:val="en-US"/>
        </w:rPr>
      </w:pPr>
      <w:r w:rsidRPr="004B6ECF">
        <w:rPr>
          <w:rFonts w:ascii="Arial" w:hAnsi="Arial" w:cs="Arial"/>
          <w:sz w:val="32"/>
          <w:szCs w:val="32"/>
          <w:lang w:val="en-US"/>
        </w:rPr>
        <w:t xml:space="preserve">  (b)</w:t>
      </w:r>
      <w:r w:rsidRPr="004B6ECF">
        <w:rPr>
          <w:rFonts w:ascii="Arial" w:hAnsi="Arial" w:cs="Arial"/>
          <w:sz w:val="32"/>
          <w:szCs w:val="32"/>
          <w:lang w:val="en-US"/>
        </w:rPr>
        <w:tab/>
        <w:t>In the 2014/2015 financial year the monies were used for:</w:t>
      </w:r>
    </w:p>
    <w:p w:rsidR="00CB687F" w:rsidRPr="004B6ECF" w:rsidRDefault="00CB687F" w:rsidP="00CB687F">
      <w:pPr>
        <w:pStyle w:val="ListParagraph"/>
        <w:numPr>
          <w:ilvl w:val="0"/>
          <w:numId w:val="5"/>
        </w:numPr>
        <w:spacing w:after="0" w:line="240" w:lineRule="auto"/>
        <w:ind w:left="1701" w:hanging="567"/>
        <w:rPr>
          <w:rFonts w:ascii="Arial" w:hAnsi="Arial" w:cs="Arial"/>
          <w:sz w:val="32"/>
          <w:szCs w:val="32"/>
          <w:lang w:val="en-GB"/>
        </w:rPr>
      </w:pPr>
      <w:r w:rsidRPr="004B6ECF">
        <w:rPr>
          <w:rFonts w:ascii="Arial" w:hAnsi="Arial" w:cs="Arial"/>
          <w:sz w:val="32"/>
          <w:szCs w:val="32"/>
          <w:lang w:val="en-GB"/>
        </w:rPr>
        <w:t>Establishment of the Hub</w:t>
      </w:r>
    </w:p>
    <w:p w:rsidR="00CB687F" w:rsidRPr="004B6ECF" w:rsidRDefault="00CB687F" w:rsidP="00CB687F">
      <w:pPr>
        <w:pStyle w:val="ListParagraph"/>
        <w:numPr>
          <w:ilvl w:val="0"/>
          <w:numId w:val="5"/>
        </w:numPr>
        <w:spacing w:after="0" w:line="240" w:lineRule="auto"/>
        <w:ind w:left="1701" w:hanging="567"/>
        <w:rPr>
          <w:rFonts w:ascii="Arial" w:hAnsi="Arial" w:cs="Arial"/>
          <w:sz w:val="32"/>
          <w:szCs w:val="32"/>
          <w:lang w:val="en-GB"/>
        </w:rPr>
      </w:pPr>
      <w:r w:rsidRPr="004B6ECF">
        <w:rPr>
          <w:rFonts w:ascii="Arial" w:hAnsi="Arial" w:cs="Arial"/>
          <w:sz w:val="32"/>
          <w:szCs w:val="32"/>
          <w:lang w:val="en-GB"/>
        </w:rPr>
        <w:t>Development of Operational Processes</w:t>
      </w:r>
    </w:p>
    <w:p w:rsidR="00CB687F" w:rsidRPr="004B6ECF" w:rsidRDefault="00CB687F" w:rsidP="00CB687F">
      <w:pPr>
        <w:pStyle w:val="ListParagraph"/>
        <w:numPr>
          <w:ilvl w:val="0"/>
          <w:numId w:val="5"/>
        </w:numPr>
        <w:spacing w:after="0" w:line="240" w:lineRule="auto"/>
        <w:ind w:left="1701" w:hanging="567"/>
        <w:rPr>
          <w:rFonts w:ascii="Arial" w:hAnsi="Arial" w:cs="Arial"/>
          <w:sz w:val="32"/>
          <w:szCs w:val="32"/>
          <w:lang w:val="en-GB"/>
        </w:rPr>
      </w:pPr>
      <w:r w:rsidRPr="004B6ECF">
        <w:rPr>
          <w:rFonts w:ascii="Arial" w:hAnsi="Arial" w:cs="Arial"/>
          <w:sz w:val="32"/>
          <w:szCs w:val="32"/>
          <w:lang w:val="en-GB"/>
        </w:rPr>
        <w:t>Development of Policies and Procedures</w:t>
      </w:r>
    </w:p>
    <w:p w:rsidR="00CB687F" w:rsidRPr="004B6ECF" w:rsidRDefault="00CB687F" w:rsidP="00CB687F">
      <w:pPr>
        <w:pStyle w:val="ListParagraph"/>
        <w:spacing w:before="120" w:after="120"/>
        <w:ind w:left="1775" w:hanging="641"/>
        <w:contextualSpacing w:val="0"/>
        <w:rPr>
          <w:rFonts w:ascii="Arial" w:hAnsi="Arial" w:cs="Arial"/>
          <w:sz w:val="32"/>
          <w:szCs w:val="32"/>
          <w:lang w:val="en-US"/>
        </w:rPr>
      </w:pPr>
      <w:r w:rsidRPr="004B6ECF">
        <w:rPr>
          <w:rFonts w:ascii="Arial" w:hAnsi="Arial" w:cs="Arial"/>
          <w:sz w:val="32"/>
          <w:szCs w:val="32"/>
          <w:lang w:val="en-US"/>
        </w:rPr>
        <w:t>In the 2015/2016 financial year the monies were used for:</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Research</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Technical and operational support</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System integration</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Facilities, facilities maintenance</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Infrastructure costs</w:t>
      </w:r>
    </w:p>
    <w:p w:rsidR="00CB687F" w:rsidRPr="004B6ECF" w:rsidRDefault="00CB687F" w:rsidP="00CB687F">
      <w:pPr>
        <w:pStyle w:val="ListParagraph"/>
        <w:numPr>
          <w:ilvl w:val="0"/>
          <w:numId w:val="6"/>
        </w:numPr>
        <w:spacing w:before="120" w:after="120"/>
        <w:ind w:left="1701" w:hanging="567"/>
        <w:rPr>
          <w:rFonts w:ascii="Arial" w:hAnsi="Arial" w:cs="Arial"/>
          <w:sz w:val="32"/>
          <w:szCs w:val="32"/>
          <w:lang w:val="en-GB"/>
        </w:rPr>
      </w:pPr>
      <w:r w:rsidRPr="004B6ECF">
        <w:rPr>
          <w:rFonts w:ascii="Arial" w:hAnsi="Arial" w:cs="Arial"/>
          <w:sz w:val="32"/>
          <w:szCs w:val="32"/>
          <w:lang w:val="en-GB"/>
        </w:rPr>
        <w:t>Stakeholder engagement</w:t>
      </w:r>
    </w:p>
    <w:sectPr w:rsidR="00CB687F" w:rsidRPr="004B6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F99"/>
    <w:multiLevelType w:val="hybridMultilevel"/>
    <w:tmpl w:val="C0343EB2"/>
    <w:lvl w:ilvl="0" w:tplc="1C090001">
      <w:start w:val="1"/>
      <w:numFmt w:val="bullet"/>
      <w:lvlText w:val=""/>
      <w:lvlJc w:val="left"/>
      <w:pPr>
        <w:ind w:left="2988" w:hanging="360"/>
      </w:pPr>
      <w:rPr>
        <w:rFonts w:ascii="Symbol" w:hAnsi="Symbol" w:hint="default"/>
      </w:rPr>
    </w:lvl>
    <w:lvl w:ilvl="1" w:tplc="1C090003" w:tentative="1">
      <w:start w:val="1"/>
      <w:numFmt w:val="bullet"/>
      <w:lvlText w:val="o"/>
      <w:lvlJc w:val="left"/>
      <w:pPr>
        <w:ind w:left="3708" w:hanging="360"/>
      </w:pPr>
      <w:rPr>
        <w:rFonts w:ascii="Courier New" w:hAnsi="Courier New" w:cs="Courier New" w:hint="default"/>
      </w:rPr>
    </w:lvl>
    <w:lvl w:ilvl="2" w:tplc="1C090005" w:tentative="1">
      <w:start w:val="1"/>
      <w:numFmt w:val="bullet"/>
      <w:lvlText w:val=""/>
      <w:lvlJc w:val="left"/>
      <w:pPr>
        <w:ind w:left="4428" w:hanging="360"/>
      </w:pPr>
      <w:rPr>
        <w:rFonts w:ascii="Wingdings" w:hAnsi="Wingdings" w:hint="default"/>
      </w:rPr>
    </w:lvl>
    <w:lvl w:ilvl="3" w:tplc="1C090001" w:tentative="1">
      <w:start w:val="1"/>
      <w:numFmt w:val="bullet"/>
      <w:lvlText w:val=""/>
      <w:lvlJc w:val="left"/>
      <w:pPr>
        <w:ind w:left="5148" w:hanging="360"/>
      </w:pPr>
      <w:rPr>
        <w:rFonts w:ascii="Symbol" w:hAnsi="Symbol" w:hint="default"/>
      </w:rPr>
    </w:lvl>
    <w:lvl w:ilvl="4" w:tplc="1C090003" w:tentative="1">
      <w:start w:val="1"/>
      <w:numFmt w:val="bullet"/>
      <w:lvlText w:val="o"/>
      <w:lvlJc w:val="left"/>
      <w:pPr>
        <w:ind w:left="5868" w:hanging="360"/>
      </w:pPr>
      <w:rPr>
        <w:rFonts w:ascii="Courier New" w:hAnsi="Courier New" w:cs="Courier New" w:hint="default"/>
      </w:rPr>
    </w:lvl>
    <w:lvl w:ilvl="5" w:tplc="1C090005" w:tentative="1">
      <w:start w:val="1"/>
      <w:numFmt w:val="bullet"/>
      <w:lvlText w:val=""/>
      <w:lvlJc w:val="left"/>
      <w:pPr>
        <w:ind w:left="6588" w:hanging="360"/>
      </w:pPr>
      <w:rPr>
        <w:rFonts w:ascii="Wingdings" w:hAnsi="Wingdings" w:hint="default"/>
      </w:rPr>
    </w:lvl>
    <w:lvl w:ilvl="6" w:tplc="1C090001" w:tentative="1">
      <w:start w:val="1"/>
      <w:numFmt w:val="bullet"/>
      <w:lvlText w:val=""/>
      <w:lvlJc w:val="left"/>
      <w:pPr>
        <w:ind w:left="7308" w:hanging="360"/>
      </w:pPr>
      <w:rPr>
        <w:rFonts w:ascii="Symbol" w:hAnsi="Symbol" w:hint="default"/>
      </w:rPr>
    </w:lvl>
    <w:lvl w:ilvl="7" w:tplc="1C090003" w:tentative="1">
      <w:start w:val="1"/>
      <w:numFmt w:val="bullet"/>
      <w:lvlText w:val="o"/>
      <w:lvlJc w:val="left"/>
      <w:pPr>
        <w:ind w:left="8028" w:hanging="360"/>
      </w:pPr>
      <w:rPr>
        <w:rFonts w:ascii="Courier New" w:hAnsi="Courier New" w:cs="Courier New" w:hint="default"/>
      </w:rPr>
    </w:lvl>
    <w:lvl w:ilvl="8" w:tplc="1C090005" w:tentative="1">
      <w:start w:val="1"/>
      <w:numFmt w:val="bullet"/>
      <w:lvlText w:val=""/>
      <w:lvlJc w:val="left"/>
      <w:pPr>
        <w:ind w:left="8748" w:hanging="360"/>
      </w:pPr>
      <w:rPr>
        <w:rFonts w:ascii="Wingdings" w:hAnsi="Wingdings" w:hint="default"/>
      </w:rPr>
    </w:lvl>
  </w:abstractNum>
  <w:abstractNum w:abstractNumId="1">
    <w:nsid w:val="1FA94B47"/>
    <w:multiLevelType w:val="hybridMultilevel"/>
    <w:tmpl w:val="6988F6CA"/>
    <w:lvl w:ilvl="0" w:tplc="1C090001">
      <w:start w:val="1"/>
      <w:numFmt w:val="bullet"/>
      <w:lvlText w:val=""/>
      <w:lvlJc w:val="left"/>
      <w:pPr>
        <w:ind w:left="2563" w:hanging="360"/>
      </w:pPr>
      <w:rPr>
        <w:rFonts w:ascii="Symbol" w:hAnsi="Symbol" w:hint="default"/>
      </w:rPr>
    </w:lvl>
    <w:lvl w:ilvl="1" w:tplc="1C090003" w:tentative="1">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2">
    <w:nsid w:val="2030197D"/>
    <w:multiLevelType w:val="hybridMultilevel"/>
    <w:tmpl w:val="2F34248C"/>
    <w:lvl w:ilvl="0" w:tplc="CDDE614C">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
    <w:nsid w:val="348B701B"/>
    <w:multiLevelType w:val="hybridMultilevel"/>
    <w:tmpl w:val="3724BE0C"/>
    <w:lvl w:ilvl="0" w:tplc="1C090001">
      <w:start w:val="1"/>
      <w:numFmt w:val="bullet"/>
      <w:lvlText w:val=""/>
      <w:lvlJc w:val="left"/>
      <w:pPr>
        <w:ind w:left="2988" w:hanging="360"/>
      </w:pPr>
      <w:rPr>
        <w:rFonts w:ascii="Symbol" w:hAnsi="Symbol" w:hint="default"/>
      </w:rPr>
    </w:lvl>
    <w:lvl w:ilvl="1" w:tplc="1C090003" w:tentative="1">
      <w:start w:val="1"/>
      <w:numFmt w:val="bullet"/>
      <w:lvlText w:val="o"/>
      <w:lvlJc w:val="left"/>
      <w:pPr>
        <w:ind w:left="3708" w:hanging="360"/>
      </w:pPr>
      <w:rPr>
        <w:rFonts w:ascii="Courier New" w:hAnsi="Courier New" w:cs="Courier New" w:hint="default"/>
      </w:rPr>
    </w:lvl>
    <w:lvl w:ilvl="2" w:tplc="1C090005" w:tentative="1">
      <w:start w:val="1"/>
      <w:numFmt w:val="bullet"/>
      <w:lvlText w:val=""/>
      <w:lvlJc w:val="left"/>
      <w:pPr>
        <w:ind w:left="4428" w:hanging="360"/>
      </w:pPr>
      <w:rPr>
        <w:rFonts w:ascii="Wingdings" w:hAnsi="Wingdings" w:hint="default"/>
      </w:rPr>
    </w:lvl>
    <w:lvl w:ilvl="3" w:tplc="1C090001" w:tentative="1">
      <w:start w:val="1"/>
      <w:numFmt w:val="bullet"/>
      <w:lvlText w:val=""/>
      <w:lvlJc w:val="left"/>
      <w:pPr>
        <w:ind w:left="5148" w:hanging="360"/>
      </w:pPr>
      <w:rPr>
        <w:rFonts w:ascii="Symbol" w:hAnsi="Symbol" w:hint="default"/>
      </w:rPr>
    </w:lvl>
    <w:lvl w:ilvl="4" w:tplc="1C090003" w:tentative="1">
      <w:start w:val="1"/>
      <w:numFmt w:val="bullet"/>
      <w:lvlText w:val="o"/>
      <w:lvlJc w:val="left"/>
      <w:pPr>
        <w:ind w:left="5868" w:hanging="360"/>
      </w:pPr>
      <w:rPr>
        <w:rFonts w:ascii="Courier New" w:hAnsi="Courier New" w:cs="Courier New" w:hint="default"/>
      </w:rPr>
    </w:lvl>
    <w:lvl w:ilvl="5" w:tplc="1C090005" w:tentative="1">
      <w:start w:val="1"/>
      <w:numFmt w:val="bullet"/>
      <w:lvlText w:val=""/>
      <w:lvlJc w:val="left"/>
      <w:pPr>
        <w:ind w:left="6588" w:hanging="360"/>
      </w:pPr>
      <w:rPr>
        <w:rFonts w:ascii="Wingdings" w:hAnsi="Wingdings" w:hint="default"/>
      </w:rPr>
    </w:lvl>
    <w:lvl w:ilvl="6" w:tplc="1C090001" w:tentative="1">
      <w:start w:val="1"/>
      <w:numFmt w:val="bullet"/>
      <w:lvlText w:val=""/>
      <w:lvlJc w:val="left"/>
      <w:pPr>
        <w:ind w:left="7308" w:hanging="360"/>
      </w:pPr>
      <w:rPr>
        <w:rFonts w:ascii="Symbol" w:hAnsi="Symbol" w:hint="default"/>
      </w:rPr>
    </w:lvl>
    <w:lvl w:ilvl="7" w:tplc="1C090003" w:tentative="1">
      <w:start w:val="1"/>
      <w:numFmt w:val="bullet"/>
      <w:lvlText w:val="o"/>
      <w:lvlJc w:val="left"/>
      <w:pPr>
        <w:ind w:left="8028" w:hanging="360"/>
      </w:pPr>
      <w:rPr>
        <w:rFonts w:ascii="Courier New" w:hAnsi="Courier New" w:cs="Courier New" w:hint="default"/>
      </w:rPr>
    </w:lvl>
    <w:lvl w:ilvl="8" w:tplc="1C090005" w:tentative="1">
      <w:start w:val="1"/>
      <w:numFmt w:val="bullet"/>
      <w:lvlText w:val=""/>
      <w:lvlJc w:val="left"/>
      <w:pPr>
        <w:ind w:left="8748" w:hanging="360"/>
      </w:pPr>
      <w:rPr>
        <w:rFonts w:ascii="Wingdings" w:hAnsi="Wingdings" w:hint="default"/>
      </w:rPr>
    </w:lvl>
  </w:abstractNum>
  <w:abstractNum w:abstractNumId="4">
    <w:nsid w:val="38C106B1"/>
    <w:multiLevelType w:val="hybridMultilevel"/>
    <w:tmpl w:val="B55E80CE"/>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5">
    <w:nsid w:val="77751039"/>
    <w:multiLevelType w:val="hybridMultilevel"/>
    <w:tmpl w:val="A7EC719E"/>
    <w:lvl w:ilvl="0" w:tplc="1EF61C50">
      <w:start w:val="1"/>
      <w:numFmt w:val="decimal"/>
      <w:lvlText w:val="(%1)"/>
      <w:lvlJc w:val="left"/>
      <w:pPr>
        <w:ind w:left="510" w:hanging="51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7F"/>
    <w:rsid w:val="000D2E8A"/>
    <w:rsid w:val="000F26FE"/>
    <w:rsid w:val="004B6ECF"/>
    <w:rsid w:val="00523508"/>
    <w:rsid w:val="00547D9B"/>
    <w:rsid w:val="00AC6BAE"/>
    <w:rsid w:val="00B00003"/>
    <w:rsid w:val="00B463BE"/>
    <w:rsid w:val="00C267BB"/>
    <w:rsid w:val="00CB687F"/>
    <w:rsid w:val="00CC0AD5"/>
    <w:rsid w:val="00D34214"/>
    <w:rsid w:val="00DD0652"/>
    <w:rsid w:val="00FC6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B687F"/>
    <w:pPr>
      <w:spacing w:after="160" w:line="256" w:lineRule="auto"/>
      <w:ind w:left="720"/>
      <w:contextualSpacing/>
    </w:pPr>
    <w:rPr>
      <w:rFonts w:ascii="Calibri" w:eastAsia="Calibri" w:hAnsi="Calibri"/>
      <w:sz w:val="22"/>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B687F"/>
    <w:rPr>
      <w:rFonts w:ascii="Calibri" w:eastAsia="Calibri" w:hAnsi="Calibri" w:cs="Times New Roman"/>
    </w:rPr>
  </w:style>
  <w:style w:type="paragraph" w:styleId="BalloonText">
    <w:name w:val="Balloon Text"/>
    <w:basedOn w:val="Normal"/>
    <w:link w:val="BalloonTextChar"/>
    <w:uiPriority w:val="99"/>
    <w:semiHidden/>
    <w:unhideWhenUsed/>
    <w:rsid w:val="00B4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B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B687F"/>
    <w:pPr>
      <w:spacing w:after="160" w:line="256" w:lineRule="auto"/>
      <w:ind w:left="720"/>
      <w:contextualSpacing/>
    </w:pPr>
    <w:rPr>
      <w:rFonts w:ascii="Calibri" w:eastAsia="Calibri" w:hAnsi="Calibri"/>
      <w:sz w:val="22"/>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B687F"/>
    <w:rPr>
      <w:rFonts w:ascii="Calibri" w:eastAsia="Calibri" w:hAnsi="Calibri" w:cs="Times New Roman"/>
    </w:rPr>
  </w:style>
  <w:style w:type="paragraph" w:styleId="BalloonText">
    <w:name w:val="Balloon Text"/>
    <w:basedOn w:val="Normal"/>
    <w:link w:val="BalloonTextChar"/>
    <w:uiPriority w:val="99"/>
    <w:semiHidden/>
    <w:unhideWhenUsed/>
    <w:rsid w:val="00B4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B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Sehlabela Chuene</cp:lastModifiedBy>
  <cp:revision>2</cp:revision>
  <cp:lastPrinted>2016-05-18T16:54:00Z</cp:lastPrinted>
  <dcterms:created xsi:type="dcterms:W3CDTF">2016-05-23T10:07:00Z</dcterms:created>
  <dcterms:modified xsi:type="dcterms:W3CDTF">2016-05-23T10:07:00Z</dcterms:modified>
</cp:coreProperties>
</file>