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2" w:rsidRPr="000A57B1" w:rsidRDefault="00566101" w:rsidP="004D3BF2">
      <w:pPr>
        <w:spacing w:line="360" w:lineRule="auto"/>
        <w:jc w:val="center"/>
        <w:rPr>
          <w:rFonts w:ascii="Arial" w:hAnsi="Arial" w:cs="Arial"/>
          <w:b/>
          <w:sz w:val="22"/>
          <w:szCs w:val="22"/>
        </w:rPr>
      </w:pPr>
      <w:r w:rsidRPr="000A57B1">
        <w:rPr>
          <w:rFonts w:ascii="Arial" w:hAnsi="Arial" w:cs="Arial"/>
          <w:b/>
          <w:sz w:val="22"/>
          <w:szCs w:val="22"/>
        </w:rPr>
        <w:t>NATIONAL ASSEMBLY</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QUESTION FOR </w:t>
      </w:r>
      <w:r w:rsidR="000A57B1" w:rsidRPr="000A57B1">
        <w:rPr>
          <w:rFonts w:ascii="Arial" w:hAnsi="Arial" w:cs="Arial"/>
          <w:b/>
          <w:sz w:val="22"/>
          <w:szCs w:val="22"/>
        </w:rPr>
        <w:t>WRITTEN</w:t>
      </w:r>
      <w:r w:rsidRPr="000A57B1">
        <w:rPr>
          <w:rFonts w:ascii="Arial" w:hAnsi="Arial" w:cs="Arial"/>
          <w:b/>
          <w:sz w:val="22"/>
          <w:szCs w:val="22"/>
        </w:rPr>
        <w:t xml:space="preserve"> REPLY</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QUESTION NUMBER: </w:t>
      </w:r>
      <w:r w:rsidR="00214E41">
        <w:rPr>
          <w:rFonts w:ascii="Arial" w:hAnsi="Arial" w:cs="Arial"/>
          <w:b/>
          <w:sz w:val="22"/>
          <w:szCs w:val="22"/>
        </w:rPr>
        <w:t>1278</w:t>
      </w:r>
      <w:r w:rsidRPr="000A57B1">
        <w:rPr>
          <w:rFonts w:ascii="Arial" w:hAnsi="Arial" w:cs="Arial"/>
          <w:b/>
          <w:sz w:val="22"/>
          <w:szCs w:val="22"/>
        </w:rPr>
        <w:t xml:space="preserve"> [</w:t>
      </w:r>
      <w:r w:rsidR="000A57B1" w:rsidRPr="000A57B1">
        <w:rPr>
          <w:rFonts w:ascii="Arial" w:eastAsia="Calibri" w:hAnsi="Arial" w:cs="Arial"/>
          <w:b/>
          <w:sz w:val="22"/>
          <w:szCs w:val="22"/>
          <w:lang w:val="en-ZA"/>
        </w:rPr>
        <w:t>NW</w:t>
      </w:r>
      <w:r w:rsidR="00214E41">
        <w:rPr>
          <w:rFonts w:ascii="Arial" w:eastAsia="Calibri" w:hAnsi="Arial" w:cs="Arial"/>
          <w:b/>
          <w:sz w:val="22"/>
          <w:szCs w:val="22"/>
          <w:lang w:val="en-ZA"/>
        </w:rPr>
        <w:t>2489</w:t>
      </w:r>
      <w:r w:rsidR="000A57B1" w:rsidRPr="000A57B1">
        <w:rPr>
          <w:rFonts w:ascii="Arial" w:eastAsia="Calibri" w:hAnsi="Arial" w:cs="Arial"/>
          <w:b/>
          <w:sz w:val="22"/>
          <w:szCs w:val="22"/>
          <w:lang w:val="en-ZA"/>
        </w:rPr>
        <w:t>E</w:t>
      </w:r>
      <w:r w:rsidRPr="000A57B1">
        <w:rPr>
          <w:rFonts w:ascii="Arial" w:hAnsi="Arial" w:cs="Arial"/>
          <w:b/>
          <w:sz w:val="22"/>
          <w:szCs w:val="22"/>
        </w:rPr>
        <w:t>]</w:t>
      </w:r>
    </w:p>
    <w:p w:rsidR="008E3D62" w:rsidRPr="000A57B1" w:rsidRDefault="008E3D62" w:rsidP="004D3BF2">
      <w:pPr>
        <w:spacing w:line="360" w:lineRule="auto"/>
        <w:jc w:val="center"/>
        <w:rPr>
          <w:rFonts w:ascii="Arial" w:hAnsi="Arial" w:cs="Arial"/>
          <w:b/>
          <w:sz w:val="22"/>
          <w:szCs w:val="22"/>
        </w:rPr>
      </w:pPr>
      <w:r w:rsidRPr="000A57B1">
        <w:rPr>
          <w:rFonts w:ascii="Arial" w:hAnsi="Arial" w:cs="Arial"/>
          <w:b/>
          <w:sz w:val="22"/>
          <w:szCs w:val="22"/>
        </w:rPr>
        <w:t xml:space="preserve">DATE OF PUBLICATION: </w:t>
      </w:r>
      <w:r w:rsidR="000A57B1" w:rsidRPr="000A57B1">
        <w:rPr>
          <w:rFonts w:ascii="Arial" w:hAnsi="Arial" w:cs="Arial"/>
          <w:b/>
          <w:sz w:val="22"/>
          <w:szCs w:val="22"/>
        </w:rPr>
        <w:t>25</w:t>
      </w:r>
      <w:r w:rsidRPr="000A57B1">
        <w:rPr>
          <w:rFonts w:ascii="Arial" w:hAnsi="Arial" w:cs="Arial"/>
          <w:b/>
          <w:sz w:val="22"/>
          <w:szCs w:val="22"/>
        </w:rPr>
        <w:t xml:space="preserve"> </w:t>
      </w:r>
      <w:r w:rsidR="002D104B" w:rsidRPr="000A57B1">
        <w:rPr>
          <w:rFonts w:ascii="Arial" w:hAnsi="Arial" w:cs="Arial"/>
          <w:b/>
          <w:sz w:val="22"/>
          <w:szCs w:val="22"/>
        </w:rPr>
        <w:t>OCTOBER</w:t>
      </w:r>
      <w:r w:rsidRPr="000A57B1">
        <w:rPr>
          <w:rFonts w:ascii="Arial" w:hAnsi="Arial" w:cs="Arial"/>
          <w:b/>
          <w:sz w:val="22"/>
          <w:szCs w:val="22"/>
        </w:rPr>
        <w:t xml:space="preserve"> 201</w:t>
      </w:r>
      <w:r w:rsidR="00566101" w:rsidRPr="000A57B1">
        <w:rPr>
          <w:rFonts w:ascii="Arial" w:hAnsi="Arial" w:cs="Arial"/>
          <w:b/>
          <w:sz w:val="22"/>
          <w:szCs w:val="22"/>
        </w:rPr>
        <w:t>9</w:t>
      </w:r>
    </w:p>
    <w:p w:rsidR="008E3D62" w:rsidRPr="000A57B1" w:rsidRDefault="008E3D62" w:rsidP="000A57B1">
      <w:pPr>
        <w:spacing w:line="276" w:lineRule="auto"/>
        <w:jc w:val="both"/>
        <w:rPr>
          <w:rFonts w:ascii="Arial" w:hAnsi="Arial" w:cs="Arial"/>
          <w:b/>
          <w:sz w:val="22"/>
          <w:szCs w:val="22"/>
        </w:rPr>
      </w:pPr>
    </w:p>
    <w:p w:rsidR="00214E41" w:rsidRPr="00214E41" w:rsidRDefault="00214E41" w:rsidP="00214E41">
      <w:pPr>
        <w:spacing w:before="100" w:beforeAutospacing="1" w:after="100" w:afterAutospacing="1" w:line="276" w:lineRule="auto"/>
        <w:ind w:left="720" w:hanging="720"/>
        <w:jc w:val="both"/>
        <w:outlineLvl w:val="0"/>
        <w:rPr>
          <w:rFonts w:ascii="Arial" w:eastAsia="Calibri" w:hAnsi="Arial" w:cs="Arial"/>
          <w:b/>
          <w:bCs/>
          <w:sz w:val="22"/>
          <w:szCs w:val="22"/>
        </w:rPr>
      </w:pPr>
      <w:r w:rsidRPr="00214E41">
        <w:rPr>
          <w:rFonts w:ascii="Arial" w:eastAsia="Calibri" w:hAnsi="Arial" w:cs="Arial"/>
          <w:b/>
          <w:bCs/>
          <w:sz w:val="22"/>
          <w:szCs w:val="22"/>
        </w:rPr>
        <w:t>1278.</w:t>
      </w:r>
      <w:r w:rsidRPr="00214E41">
        <w:rPr>
          <w:rFonts w:ascii="Arial" w:eastAsia="Calibri" w:hAnsi="Arial" w:cs="Arial"/>
          <w:b/>
          <w:bCs/>
          <w:sz w:val="22"/>
          <w:szCs w:val="22"/>
        </w:rPr>
        <w:tab/>
        <w:t>Ms N V Mente (EFF) to ask the Minister of Finance</w:t>
      </w:r>
      <w:r w:rsidRPr="00214E41">
        <w:rPr>
          <w:rFonts w:ascii="Arial" w:eastAsia="Calibri" w:hAnsi="Arial" w:cs="Arial"/>
          <w:b/>
          <w:bCs/>
          <w:sz w:val="22"/>
          <w:szCs w:val="22"/>
        </w:rPr>
        <w:fldChar w:fldCharType="begin"/>
      </w:r>
      <w:r w:rsidRPr="00214E41">
        <w:rPr>
          <w:rFonts w:ascii="Arial" w:eastAsia="Calibri" w:hAnsi="Arial" w:cs="Arial"/>
          <w:sz w:val="22"/>
          <w:szCs w:val="22"/>
          <w:lang w:val="en-ZA"/>
        </w:rPr>
        <w:instrText xml:space="preserve"> XE "</w:instrText>
      </w:r>
      <w:r w:rsidRPr="00214E41">
        <w:rPr>
          <w:rFonts w:ascii="Arial" w:eastAsia="Calibri" w:hAnsi="Arial" w:cs="Arial"/>
          <w:b/>
          <w:sz w:val="22"/>
          <w:szCs w:val="22"/>
          <w:lang w:val="en-ZA"/>
        </w:rPr>
        <w:instrText>Finance</w:instrText>
      </w:r>
      <w:r w:rsidRPr="00214E41">
        <w:rPr>
          <w:rFonts w:ascii="Arial" w:eastAsia="Calibri" w:hAnsi="Arial" w:cs="Arial"/>
          <w:sz w:val="22"/>
          <w:szCs w:val="22"/>
          <w:lang w:val="en-ZA"/>
        </w:rPr>
        <w:instrText xml:space="preserve">" </w:instrText>
      </w:r>
      <w:r w:rsidRPr="00214E41">
        <w:rPr>
          <w:rFonts w:ascii="Arial" w:eastAsia="Calibri" w:hAnsi="Arial" w:cs="Arial"/>
          <w:b/>
          <w:bCs/>
          <w:sz w:val="22"/>
          <w:szCs w:val="22"/>
        </w:rPr>
        <w:fldChar w:fldCharType="end"/>
      </w:r>
      <w:r w:rsidRPr="00214E41">
        <w:rPr>
          <w:rFonts w:ascii="Arial" w:eastAsia="Calibri" w:hAnsi="Arial" w:cs="Arial"/>
          <w:b/>
          <w:bCs/>
          <w:sz w:val="22"/>
          <w:szCs w:val="22"/>
        </w:rPr>
        <w:t>:</w:t>
      </w:r>
    </w:p>
    <w:p w:rsidR="00214E41" w:rsidRDefault="00214E41" w:rsidP="00214E41">
      <w:pPr>
        <w:spacing w:before="100" w:beforeAutospacing="1" w:after="100" w:afterAutospacing="1" w:line="276" w:lineRule="auto"/>
        <w:ind w:left="720"/>
        <w:jc w:val="both"/>
        <w:outlineLvl w:val="0"/>
        <w:rPr>
          <w:rFonts w:ascii="Arial" w:eastAsia="Calibri" w:hAnsi="Arial" w:cs="Arial"/>
          <w:sz w:val="22"/>
          <w:szCs w:val="22"/>
        </w:rPr>
      </w:pPr>
      <w:r w:rsidRPr="00214E41">
        <w:rPr>
          <w:rFonts w:ascii="Arial" w:eastAsia="Calibri" w:hAnsi="Arial" w:cs="Arial"/>
          <w:sz w:val="22"/>
          <w:szCs w:val="22"/>
        </w:rPr>
        <w:t>Whether the National Treasury allocated additional funding to the Independent Police</w:t>
      </w:r>
      <w:r w:rsidRPr="00214E41">
        <w:rPr>
          <w:rFonts w:ascii="Arial" w:eastAsia="Calibri" w:hAnsi="Arial" w:cs="Arial"/>
          <w:sz w:val="22"/>
          <w:szCs w:val="22"/>
        </w:rPr>
        <w:fldChar w:fldCharType="begin"/>
      </w:r>
      <w:r w:rsidRPr="00214E41">
        <w:rPr>
          <w:rFonts w:ascii="Arial" w:eastAsia="Calibri" w:hAnsi="Arial" w:cs="Arial"/>
          <w:sz w:val="22"/>
          <w:szCs w:val="22"/>
          <w:lang w:val="en-ZA"/>
        </w:rPr>
        <w:instrText xml:space="preserve"> XE "</w:instrText>
      </w:r>
      <w:r w:rsidRPr="00214E41">
        <w:rPr>
          <w:rFonts w:ascii="Arial" w:hAnsi="Arial" w:cs="Arial"/>
          <w:b/>
          <w:sz w:val="22"/>
          <w:szCs w:val="22"/>
        </w:rPr>
        <w:instrText>Police</w:instrText>
      </w:r>
      <w:r w:rsidRPr="00214E41">
        <w:rPr>
          <w:rFonts w:ascii="Arial" w:eastAsia="Calibri" w:hAnsi="Arial" w:cs="Arial"/>
          <w:sz w:val="22"/>
          <w:szCs w:val="22"/>
          <w:lang w:val="en-ZA"/>
        </w:rPr>
        <w:instrText xml:space="preserve">" </w:instrText>
      </w:r>
      <w:r w:rsidRPr="00214E41">
        <w:rPr>
          <w:rFonts w:ascii="Arial" w:eastAsia="Calibri" w:hAnsi="Arial" w:cs="Arial"/>
          <w:sz w:val="22"/>
          <w:szCs w:val="22"/>
        </w:rPr>
        <w:fldChar w:fldCharType="end"/>
      </w:r>
      <w:r w:rsidRPr="00214E41">
        <w:rPr>
          <w:rFonts w:ascii="Arial" w:eastAsia="Calibri" w:hAnsi="Arial" w:cs="Arial"/>
          <w:sz w:val="22"/>
          <w:szCs w:val="22"/>
        </w:rPr>
        <w:t xml:space="preserve"> Investigative Directorate in order to pay investigators in terms of the SA Police Services Act, Act 68 of 1995; if not, what is the position in this regard; if so, what are the relevant details?</w:t>
      </w:r>
      <w:r w:rsidRPr="00214E41">
        <w:rPr>
          <w:rFonts w:ascii="Arial" w:eastAsia="Calibri" w:hAnsi="Arial" w:cs="Arial"/>
          <w:sz w:val="22"/>
          <w:szCs w:val="22"/>
        </w:rPr>
        <w:tab/>
      </w:r>
      <w:r w:rsidRPr="00214E41">
        <w:rPr>
          <w:rFonts w:ascii="Arial" w:eastAsia="Calibri" w:hAnsi="Arial" w:cs="Arial"/>
          <w:sz w:val="22"/>
          <w:szCs w:val="22"/>
        </w:rPr>
        <w:tab/>
      </w:r>
      <w:r w:rsidRPr="00214E41">
        <w:rPr>
          <w:rFonts w:ascii="Arial" w:eastAsia="Calibri" w:hAnsi="Arial" w:cs="Arial"/>
          <w:sz w:val="22"/>
          <w:szCs w:val="22"/>
        </w:rPr>
        <w:tab/>
      </w:r>
      <w:r w:rsidRPr="00214E41">
        <w:rPr>
          <w:rFonts w:ascii="Arial" w:eastAsia="Calibri" w:hAnsi="Arial" w:cs="Arial"/>
          <w:sz w:val="22"/>
          <w:szCs w:val="22"/>
        </w:rPr>
        <w:tab/>
      </w:r>
      <w:r w:rsidRPr="00214E41">
        <w:rPr>
          <w:rFonts w:ascii="Arial" w:eastAsia="Calibri" w:hAnsi="Arial" w:cs="Arial"/>
          <w:sz w:val="22"/>
          <w:szCs w:val="22"/>
        </w:rPr>
        <w:tab/>
      </w:r>
      <w:r w:rsidRPr="00214E41">
        <w:rPr>
          <w:rFonts w:ascii="Arial" w:eastAsia="Calibri" w:hAnsi="Arial" w:cs="Arial"/>
          <w:sz w:val="22"/>
          <w:szCs w:val="22"/>
        </w:rPr>
        <w:tab/>
      </w:r>
      <w:r w:rsidRPr="00214E41">
        <w:rPr>
          <w:rFonts w:ascii="Arial" w:eastAsia="Calibri" w:hAnsi="Arial" w:cs="Arial"/>
          <w:sz w:val="22"/>
          <w:szCs w:val="22"/>
        </w:rPr>
        <w:tab/>
      </w:r>
      <w:r w:rsidRPr="00214E41">
        <w:rPr>
          <w:rFonts w:ascii="Arial" w:eastAsia="Calibri" w:hAnsi="Arial" w:cs="Arial"/>
          <w:sz w:val="22"/>
          <w:szCs w:val="22"/>
        </w:rPr>
        <w:tab/>
      </w:r>
    </w:p>
    <w:p w:rsidR="00214E41" w:rsidRPr="00214E41" w:rsidRDefault="00214E41" w:rsidP="00214E41">
      <w:pPr>
        <w:spacing w:before="100" w:beforeAutospacing="1" w:after="100" w:afterAutospacing="1" w:line="276" w:lineRule="auto"/>
        <w:ind w:left="720"/>
        <w:jc w:val="both"/>
        <w:outlineLvl w:val="0"/>
        <w:rPr>
          <w:rFonts w:ascii="Arial" w:eastAsia="Calibri" w:hAnsi="Arial" w:cs="Arial"/>
          <w:sz w:val="22"/>
          <w:szCs w:val="22"/>
          <w:lang w:val="en-ZA"/>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214E41">
        <w:rPr>
          <w:rFonts w:ascii="Arial" w:eastAsia="Calibri" w:hAnsi="Arial" w:cs="Arial"/>
          <w:sz w:val="22"/>
          <w:szCs w:val="22"/>
        </w:rPr>
        <w:tab/>
      </w:r>
      <w:bookmarkStart w:id="0" w:name="_GoBack"/>
      <w:r w:rsidRPr="00214E41">
        <w:rPr>
          <w:rFonts w:ascii="Arial" w:eastAsia="Calibri" w:hAnsi="Arial" w:cs="Arial"/>
          <w:sz w:val="22"/>
          <w:szCs w:val="22"/>
        </w:rPr>
        <w:t>NW2489E</w:t>
      </w:r>
      <w:bookmarkEnd w:id="0"/>
    </w:p>
    <w:p w:rsidR="008E3D62" w:rsidRPr="00214E41" w:rsidRDefault="008E3D62" w:rsidP="00214E41">
      <w:pPr>
        <w:spacing w:before="100" w:beforeAutospacing="1" w:after="100" w:afterAutospacing="1" w:line="276" w:lineRule="auto"/>
        <w:jc w:val="both"/>
        <w:outlineLvl w:val="0"/>
        <w:rPr>
          <w:rFonts w:ascii="Arial" w:hAnsi="Arial" w:cs="Arial"/>
          <w:sz w:val="22"/>
          <w:szCs w:val="22"/>
        </w:rPr>
      </w:pPr>
      <w:r w:rsidRPr="00214E41">
        <w:rPr>
          <w:rFonts w:ascii="Arial" w:hAnsi="Arial" w:cs="Arial"/>
          <w:b/>
          <w:sz w:val="22"/>
          <w:szCs w:val="22"/>
        </w:rPr>
        <w:t>REPLY</w:t>
      </w:r>
      <w:r w:rsidRPr="00214E41">
        <w:rPr>
          <w:rFonts w:ascii="Arial" w:hAnsi="Arial" w:cs="Arial"/>
          <w:sz w:val="22"/>
          <w:szCs w:val="22"/>
        </w:rPr>
        <w:t>:</w:t>
      </w:r>
    </w:p>
    <w:p w:rsidR="004F17A8" w:rsidRDefault="004F17A8" w:rsidP="000F5C6A">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Section 23 of the Independent Police Investigative Directorate Act (hereafter referred to as the IPID Act) (2011) provides that </w:t>
      </w:r>
      <w:r w:rsidR="000F5C6A">
        <w:rPr>
          <w:rFonts w:ascii="Arial" w:hAnsi="Arial" w:cs="Arial"/>
          <w:sz w:val="22"/>
          <w:szCs w:val="22"/>
        </w:rPr>
        <w:t>t</w:t>
      </w:r>
      <w:r w:rsidR="000F5C6A" w:rsidRPr="000F5C6A">
        <w:rPr>
          <w:rFonts w:ascii="Arial" w:hAnsi="Arial" w:cs="Arial"/>
          <w:sz w:val="22"/>
          <w:szCs w:val="22"/>
          <w:lang w:val="en-ZA"/>
        </w:rPr>
        <w:t>he conditions of service, including the salary and allowances payable to an</w:t>
      </w:r>
      <w:r w:rsidR="000F5C6A">
        <w:rPr>
          <w:rFonts w:ascii="Arial" w:hAnsi="Arial" w:cs="Arial"/>
          <w:sz w:val="22"/>
          <w:szCs w:val="22"/>
          <w:lang w:val="en-ZA"/>
        </w:rPr>
        <w:t xml:space="preserve"> </w:t>
      </w:r>
      <w:r w:rsidR="000F5C6A" w:rsidRPr="000F5C6A">
        <w:rPr>
          <w:rFonts w:ascii="Arial" w:hAnsi="Arial" w:cs="Arial"/>
          <w:sz w:val="22"/>
          <w:szCs w:val="22"/>
          <w:lang w:val="en-ZA"/>
        </w:rPr>
        <w:t>investigator appointed under th</w:t>
      </w:r>
      <w:r w:rsidR="000F5C6A">
        <w:rPr>
          <w:rFonts w:ascii="Arial" w:hAnsi="Arial" w:cs="Arial"/>
          <w:sz w:val="22"/>
          <w:szCs w:val="22"/>
          <w:lang w:val="en-ZA"/>
        </w:rPr>
        <w:t>e IPID</w:t>
      </w:r>
      <w:r w:rsidR="000F5C6A" w:rsidRPr="000F5C6A">
        <w:rPr>
          <w:rFonts w:ascii="Arial" w:hAnsi="Arial" w:cs="Arial"/>
          <w:sz w:val="22"/>
          <w:szCs w:val="22"/>
          <w:lang w:val="en-ZA"/>
        </w:rPr>
        <w:t xml:space="preserve"> Act</w:t>
      </w:r>
      <w:r w:rsidR="000F5C6A">
        <w:rPr>
          <w:rFonts w:ascii="Arial" w:hAnsi="Arial" w:cs="Arial"/>
          <w:sz w:val="22"/>
          <w:szCs w:val="22"/>
          <w:lang w:val="en-ZA"/>
        </w:rPr>
        <w:t xml:space="preserve"> (2011)</w:t>
      </w:r>
      <w:r w:rsidR="000F5C6A" w:rsidRPr="000F5C6A">
        <w:rPr>
          <w:rFonts w:ascii="Arial" w:hAnsi="Arial" w:cs="Arial"/>
          <w:sz w:val="22"/>
          <w:szCs w:val="22"/>
          <w:lang w:val="en-ZA"/>
        </w:rPr>
        <w:t xml:space="preserve">, must be on </w:t>
      </w:r>
      <w:r w:rsidR="000F5C6A">
        <w:rPr>
          <w:rFonts w:ascii="Arial" w:hAnsi="Arial" w:cs="Arial"/>
          <w:sz w:val="22"/>
          <w:szCs w:val="22"/>
          <w:lang w:val="en-ZA"/>
        </w:rPr>
        <w:t xml:space="preserve">par with members appointed as </w:t>
      </w:r>
      <w:r w:rsidR="000F5C6A" w:rsidRPr="000F5C6A">
        <w:rPr>
          <w:rFonts w:ascii="Arial" w:hAnsi="Arial" w:cs="Arial"/>
          <w:sz w:val="22"/>
          <w:szCs w:val="22"/>
          <w:lang w:val="en-ZA"/>
        </w:rPr>
        <w:t>detectives in terms of the South African Police Service Act.</w:t>
      </w:r>
    </w:p>
    <w:p w:rsidR="004F17A8" w:rsidRPr="000F5C6A" w:rsidRDefault="004F17A8" w:rsidP="0091738B">
      <w:pPr>
        <w:tabs>
          <w:tab w:val="left" w:pos="432"/>
          <w:tab w:val="left" w:pos="864"/>
        </w:tabs>
        <w:spacing w:line="360" w:lineRule="auto"/>
        <w:jc w:val="both"/>
        <w:rPr>
          <w:rFonts w:ascii="Arial" w:hAnsi="Arial" w:cs="Arial"/>
          <w:sz w:val="12"/>
          <w:szCs w:val="12"/>
        </w:rPr>
      </w:pPr>
    </w:p>
    <w:p w:rsidR="00CF7208" w:rsidRDefault="0051471F" w:rsidP="0091738B">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As part of the 2018 Medium Term Expenditure Framework </w:t>
      </w:r>
      <w:r w:rsidR="000F5C6A">
        <w:rPr>
          <w:rFonts w:ascii="Arial" w:hAnsi="Arial" w:cs="Arial"/>
          <w:sz w:val="22"/>
          <w:szCs w:val="22"/>
        </w:rPr>
        <w:t xml:space="preserve">(MTEF) </w:t>
      </w:r>
      <w:r>
        <w:rPr>
          <w:rFonts w:ascii="Arial" w:hAnsi="Arial" w:cs="Arial"/>
          <w:sz w:val="22"/>
          <w:szCs w:val="22"/>
        </w:rPr>
        <w:t>Budget, funds were reprioritised from the South African Police Service (SAPS) to the Independent Police Investigative Directorate</w:t>
      </w:r>
      <w:r w:rsidR="000F5C6A">
        <w:rPr>
          <w:rFonts w:ascii="Arial" w:hAnsi="Arial" w:cs="Arial"/>
          <w:sz w:val="22"/>
          <w:szCs w:val="22"/>
        </w:rPr>
        <w:t xml:space="preserve"> (IPID) to provide for various</w:t>
      </w:r>
      <w:r>
        <w:rPr>
          <w:rFonts w:ascii="Arial" w:hAnsi="Arial" w:cs="Arial"/>
          <w:sz w:val="22"/>
          <w:szCs w:val="22"/>
        </w:rPr>
        <w:t xml:space="preserve"> IPID unfunded cost pressures, amongst which was the implementation of section 23 of the IPID Act (2011). At the time of the allocation, the IPID had costed the prospective implementation of section 23 of the Act to </w:t>
      </w:r>
      <w:r w:rsidR="004F17A8">
        <w:rPr>
          <w:rFonts w:ascii="Arial" w:hAnsi="Arial" w:cs="Arial"/>
          <w:sz w:val="22"/>
          <w:szCs w:val="22"/>
        </w:rPr>
        <w:t>amount to</w:t>
      </w:r>
      <w:r>
        <w:rPr>
          <w:rFonts w:ascii="Arial" w:hAnsi="Arial" w:cs="Arial"/>
          <w:sz w:val="22"/>
          <w:szCs w:val="22"/>
        </w:rPr>
        <w:t xml:space="preserve"> R</w:t>
      </w:r>
      <w:r w:rsidR="000F5C6A">
        <w:rPr>
          <w:rFonts w:ascii="Arial" w:hAnsi="Arial" w:cs="Arial"/>
          <w:sz w:val="22"/>
          <w:szCs w:val="22"/>
        </w:rPr>
        <w:t>9.3 million over the 2018 MTEF</w:t>
      </w:r>
      <w:r>
        <w:rPr>
          <w:rFonts w:ascii="Arial" w:hAnsi="Arial" w:cs="Arial"/>
          <w:sz w:val="22"/>
          <w:szCs w:val="22"/>
        </w:rPr>
        <w:t>.</w:t>
      </w:r>
      <w:r w:rsidR="00CF7208">
        <w:rPr>
          <w:rFonts w:ascii="Arial" w:hAnsi="Arial" w:cs="Arial"/>
          <w:sz w:val="22"/>
          <w:szCs w:val="22"/>
        </w:rPr>
        <w:t xml:space="preserve"> </w:t>
      </w:r>
      <w:r>
        <w:rPr>
          <w:rFonts w:ascii="Arial" w:hAnsi="Arial" w:cs="Arial"/>
          <w:sz w:val="22"/>
          <w:szCs w:val="22"/>
        </w:rPr>
        <w:t xml:space="preserve">Subsequent to the allocation of the additional funding, IPID then informed the National Treasury that in terms of </w:t>
      </w:r>
      <w:r w:rsidR="00CF7208">
        <w:rPr>
          <w:rFonts w:ascii="Arial" w:hAnsi="Arial" w:cs="Arial"/>
          <w:sz w:val="22"/>
          <w:szCs w:val="22"/>
        </w:rPr>
        <w:t>the</w:t>
      </w:r>
      <w:r w:rsidR="004F17A8">
        <w:rPr>
          <w:rFonts w:ascii="Arial" w:hAnsi="Arial" w:cs="Arial"/>
          <w:sz w:val="22"/>
          <w:szCs w:val="22"/>
        </w:rPr>
        <w:t xml:space="preserve"> C</w:t>
      </w:r>
      <w:r>
        <w:rPr>
          <w:rFonts w:ascii="Arial" w:hAnsi="Arial" w:cs="Arial"/>
          <w:sz w:val="22"/>
          <w:szCs w:val="22"/>
        </w:rPr>
        <w:t xml:space="preserve">ourt ruling, it was </w:t>
      </w:r>
      <w:r w:rsidR="00CF7208">
        <w:rPr>
          <w:rFonts w:ascii="Arial" w:hAnsi="Arial" w:cs="Arial"/>
          <w:sz w:val="22"/>
          <w:szCs w:val="22"/>
        </w:rPr>
        <w:t xml:space="preserve">also </w:t>
      </w:r>
      <w:r>
        <w:rPr>
          <w:rFonts w:ascii="Arial" w:hAnsi="Arial" w:cs="Arial"/>
          <w:sz w:val="22"/>
          <w:szCs w:val="22"/>
        </w:rPr>
        <w:t>required to</w:t>
      </w:r>
      <w:r w:rsidR="004F17A8">
        <w:rPr>
          <w:rFonts w:ascii="Arial" w:hAnsi="Arial" w:cs="Arial"/>
          <w:sz w:val="22"/>
          <w:szCs w:val="22"/>
        </w:rPr>
        <w:t xml:space="preserve"> implement section 23 retrospectively. This implies that the IPID was required to back-date the salary adjustment for investigators to align with the salaries of Detectives in SAPS</w:t>
      </w:r>
      <w:r w:rsidR="00CF7208">
        <w:rPr>
          <w:rFonts w:ascii="Arial" w:hAnsi="Arial" w:cs="Arial"/>
          <w:sz w:val="22"/>
          <w:szCs w:val="22"/>
        </w:rPr>
        <w:t>,</w:t>
      </w:r>
      <w:r w:rsidR="004F17A8">
        <w:rPr>
          <w:rFonts w:ascii="Arial" w:hAnsi="Arial" w:cs="Arial"/>
          <w:sz w:val="22"/>
          <w:szCs w:val="22"/>
        </w:rPr>
        <w:t xml:space="preserve"> from when the Act was first implemented in 2012. </w:t>
      </w:r>
      <w:r w:rsidR="00CF7208">
        <w:rPr>
          <w:rFonts w:ascii="Arial" w:hAnsi="Arial" w:cs="Arial"/>
          <w:sz w:val="22"/>
          <w:szCs w:val="22"/>
        </w:rPr>
        <w:t>A</w:t>
      </w:r>
      <w:r w:rsidR="004F17A8">
        <w:rPr>
          <w:rFonts w:ascii="Arial" w:hAnsi="Arial" w:cs="Arial"/>
          <w:sz w:val="22"/>
          <w:szCs w:val="22"/>
        </w:rPr>
        <w:t xml:space="preserve">s the budget process had already been concluded, no additional funds were allocated to the IPID. </w:t>
      </w:r>
    </w:p>
    <w:p w:rsidR="00CF7208" w:rsidRPr="000F5C6A" w:rsidRDefault="00CF7208" w:rsidP="0091738B">
      <w:pPr>
        <w:tabs>
          <w:tab w:val="left" w:pos="432"/>
          <w:tab w:val="left" w:pos="864"/>
        </w:tabs>
        <w:spacing w:line="360" w:lineRule="auto"/>
        <w:jc w:val="both"/>
        <w:rPr>
          <w:rFonts w:ascii="Arial" w:hAnsi="Arial" w:cs="Arial"/>
          <w:sz w:val="12"/>
          <w:szCs w:val="12"/>
        </w:rPr>
      </w:pPr>
    </w:p>
    <w:p w:rsidR="00CF7208" w:rsidRDefault="004F17A8" w:rsidP="0091738B">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Upon </w:t>
      </w:r>
      <w:r w:rsidR="00CF7208">
        <w:rPr>
          <w:rFonts w:ascii="Arial" w:hAnsi="Arial" w:cs="Arial"/>
          <w:sz w:val="22"/>
          <w:szCs w:val="22"/>
        </w:rPr>
        <w:t xml:space="preserve">further </w:t>
      </w:r>
      <w:r>
        <w:rPr>
          <w:rFonts w:ascii="Arial" w:hAnsi="Arial" w:cs="Arial"/>
          <w:sz w:val="22"/>
          <w:szCs w:val="22"/>
        </w:rPr>
        <w:t>engagements with the IPID</w:t>
      </w:r>
      <w:r w:rsidR="00CF7208">
        <w:rPr>
          <w:rFonts w:ascii="Arial" w:hAnsi="Arial" w:cs="Arial"/>
          <w:sz w:val="22"/>
          <w:szCs w:val="22"/>
        </w:rPr>
        <w:t xml:space="preserve"> on this matter</w:t>
      </w:r>
      <w:r>
        <w:rPr>
          <w:rFonts w:ascii="Arial" w:hAnsi="Arial" w:cs="Arial"/>
          <w:sz w:val="22"/>
          <w:szCs w:val="22"/>
        </w:rPr>
        <w:t xml:space="preserve">, the National Treasury was informed that implementation of section 23 of the IPID Act (2011) did occur </w:t>
      </w:r>
      <w:r w:rsidR="000F5C6A">
        <w:rPr>
          <w:rFonts w:ascii="Arial" w:hAnsi="Arial" w:cs="Arial"/>
          <w:sz w:val="22"/>
          <w:szCs w:val="22"/>
        </w:rPr>
        <w:t>in 2018/19</w:t>
      </w:r>
      <w:r>
        <w:rPr>
          <w:rFonts w:ascii="Arial" w:hAnsi="Arial" w:cs="Arial"/>
          <w:sz w:val="22"/>
          <w:szCs w:val="22"/>
        </w:rPr>
        <w:t xml:space="preserve"> but only as it relates to the prospective adjustment of salaries</w:t>
      </w:r>
      <w:r w:rsidR="00CF7208">
        <w:rPr>
          <w:rFonts w:ascii="Arial" w:hAnsi="Arial" w:cs="Arial"/>
          <w:sz w:val="22"/>
          <w:szCs w:val="22"/>
        </w:rPr>
        <w:t xml:space="preserve"> (notch increments)</w:t>
      </w:r>
      <w:r w:rsidR="000F5C6A">
        <w:rPr>
          <w:rFonts w:ascii="Arial" w:hAnsi="Arial" w:cs="Arial"/>
          <w:sz w:val="22"/>
          <w:szCs w:val="22"/>
        </w:rPr>
        <w:t xml:space="preserve"> for investigators</w:t>
      </w:r>
      <w:r>
        <w:rPr>
          <w:rFonts w:ascii="Arial" w:hAnsi="Arial" w:cs="Arial"/>
          <w:sz w:val="22"/>
          <w:szCs w:val="22"/>
        </w:rPr>
        <w:t xml:space="preserve">. </w:t>
      </w:r>
      <w:r w:rsidR="00CF7208">
        <w:rPr>
          <w:rFonts w:ascii="Arial" w:hAnsi="Arial" w:cs="Arial"/>
          <w:sz w:val="22"/>
          <w:szCs w:val="22"/>
        </w:rPr>
        <w:t xml:space="preserve">Other salary-related </w:t>
      </w:r>
      <w:r w:rsidR="00CF7208">
        <w:rPr>
          <w:rFonts w:ascii="Arial" w:hAnsi="Arial" w:cs="Arial"/>
          <w:sz w:val="22"/>
          <w:szCs w:val="22"/>
        </w:rPr>
        <w:lastRenderedPageBreak/>
        <w:t xml:space="preserve">adjustments such as pension liability and back-dated payments were not implemented due to the unavailability of funds. </w:t>
      </w:r>
    </w:p>
    <w:p w:rsidR="000F5C6A" w:rsidRPr="000F5C6A" w:rsidRDefault="000F5C6A" w:rsidP="0091738B">
      <w:pPr>
        <w:tabs>
          <w:tab w:val="left" w:pos="432"/>
          <w:tab w:val="left" w:pos="864"/>
        </w:tabs>
        <w:spacing w:line="360" w:lineRule="auto"/>
        <w:jc w:val="both"/>
        <w:rPr>
          <w:rFonts w:ascii="Arial" w:hAnsi="Arial" w:cs="Arial"/>
          <w:sz w:val="12"/>
          <w:szCs w:val="12"/>
        </w:rPr>
      </w:pPr>
    </w:p>
    <w:p w:rsidR="004F17A8" w:rsidRDefault="004F17A8" w:rsidP="0091738B">
      <w:pPr>
        <w:tabs>
          <w:tab w:val="left" w:pos="432"/>
          <w:tab w:val="left" w:pos="864"/>
        </w:tabs>
        <w:spacing w:line="360" w:lineRule="auto"/>
        <w:jc w:val="both"/>
        <w:rPr>
          <w:rFonts w:ascii="Arial" w:hAnsi="Arial" w:cs="Arial"/>
          <w:sz w:val="22"/>
          <w:szCs w:val="22"/>
        </w:rPr>
      </w:pPr>
      <w:r>
        <w:rPr>
          <w:rFonts w:ascii="Arial" w:hAnsi="Arial" w:cs="Arial"/>
          <w:sz w:val="22"/>
          <w:szCs w:val="22"/>
        </w:rPr>
        <w:t>As part of the 2019 Adjustments Budget, the IPID approached the National Treasury with a request to shift funds within com</w:t>
      </w:r>
      <w:r w:rsidR="00CF7208">
        <w:rPr>
          <w:rFonts w:ascii="Arial" w:hAnsi="Arial" w:cs="Arial"/>
          <w:sz w:val="22"/>
          <w:szCs w:val="22"/>
        </w:rPr>
        <w:t xml:space="preserve">pensation of employees to provide for </w:t>
      </w:r>
      <w:r w:rsidR="000F5C6A">
        <w:rPr>
          <w:rFonts w:ascii="Arial" w:hAnsi="Arial" w:cs="Arial"/>
          <w:sz w:val="22"/>
          <w:szCs w:val="22"/>
        </w:rPr>
        <w:t xml:space="preserve">the </w:t>
      </w:r>
      <w:r>
        <w:rPr>
          <w:rFonts w:ascii="Arial" w:hAnsi="Arial" w:cs="Arial"/>
          <w:sz w:val="22"/>
          <w:szCs w:val="22"/>
        </w:rPr>
        <w:t xml:space="preserve">back-dated </w:t>
      </w:r>
      <w:r w:rsidR="00CF7208">
        <w:rPr>
          <w:rFonts w:ascii="Arial" w:hAnsi="Arial" w:cs="Arial"/>
          <w:sz w:val="22"/>
          <w:szCs w:val="22"/>
        </w:rPr>
        <w:t xml:space="preserve">payment of </w:t>
      </w:r>
      <w:r>
        <w:rPr>
          <w:rFonts w:ascii="Arial" w:hAnsi="Arial" w:cs="Arial"/>
          <w:sz w:val="22"/>
          <w:szCs w:val="22"/>
        </w:rPr>
        <w:t>pension liabilit</w:t>
      </w:r>
      <w:r w:rsidR="000F5C6A">
        <w:rPr>
          <w:rFonts w:ascii="Arial" w:hAnsi="Arial" w:cs="Arial"/>
          <w:sz w:val="22"/>
          <w:szCs w:val="22"/>
        </w:rPr>
        <w:t>ies</w:t>
      </w:r>
      <w:r>
        <w:rPr>
          <w:rFonts w:ascii="Arial" w:hAnsi="Arial" w:cs="Arial"/>
          <w:sz w:val="22"/>
          <w:szCs w:val="22"/>
        </w:rPr>
        <w:t xml:space="preserve"> for investigators. The National Treasury supported this proposal on condition that the IPID can accommodate the attendant carry-through costs associated with the revised pension contribution for investigators within its baseline.</w:t>
      </w:r>
    </w:p>
    <w:sectPr w:rsidR="004F17A8"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70" w:rsidRDefault="00437E70" w:rsidP="00380E88">
      <w:r>
        <w:separator/>
      </w:r>
    </w:p>
  </w:endnote>
  <w:endnote w:type="continuationSeparator" w:id="0">
    <w:p w:rsidR="00437E70" w:rsidRDefault="00437E70"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70" w:rsidRDefault="00437E70" w:rsidP="00380E88">
      <w:r>
        <w:separator/>
      </w:r>
    </w:p>
  </w:footnote>
  <w:footnote w:type="continuationSeparator" w:id="0">
    <w:p w:rsidR="00437E70" w:rsidRDefault="00437E70"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596C"/>
    <w:rsid w:val="000A3C32"/>
    <w:rsid w:val="000A57B1"/>
    <w:rsid w:val="000B16E9"/>
    <w:rsid w:val="000B555E"/>
    <w:rsid w:val="000C2BEF"/>
    <w:rsid w:val="000C3917"/>
    <w:rsid w:val="000C48D8"/>
    <w:rsid w:val="000D5DF7"/>
    <w:rsid w:val="000E1B36"/>
    <w:rsid w:val="000F3B14"/>
    <w:rsid w:val="000F5178"/>
    <w:rsid w:val="000F5C6A"/>
    <w:rsid w:val="00110946"/>
    <w:rsid w:val="00122C88"/>
    <w:rsid w:val="00130348"/>
    <w:rsid w:val="00132CAF"/>
    <w:rsid w:val="00132CF0"/>
    <w:rsid w:val="001433AE"/>
    <w:rsid w:val="0014441E"/>
    <w:rsid w:val="0015727B"/>
    <w:rsid w:val="00197576"/>
    <w:rsid w:val="001B0917"/>
    <w:rsid w:val="001B7F2A"/>
    <w:rsid w:val="001C1E62"/>
    <w:rsid w:val="001D4937"/>
    <w:rsid w:val="001E3FB5"/>
    <w:rsid w:val="001E6902"/>
    <w:rsid w:val="001F4B50"/>
    <w:rsid w:val="001F7560"/>
    <w:rsid w:val="002032A1"/>
    <w:rsid w:val="002065BA"/>
    <w:rsid w:val="00207912"/>
    <w:rsid w:val="00214E41"/>
    <w:rsid w:val="00223863"/>
    <w:rsid w:val="0022502D"/>
    <w:rsid w:val="00251791"/>
    <w:rsid w:val="00260251"/>
    <w:rsid w:val="00262F05"/>
    <w:rsid w:val="002855CE"/>
    <w:rsid w:val="0028635F"/>
    <w:rsid w:val="002867DD"/>
    <w:rsid w:val="002927CD"/>
    <w:rsid w:val="002A4157"/>
    <w:rsid w:val="002B3B25"/>
    <w:rsid w:val="002B7345"/>
    <w:rsid w:val="002D104B"/>
    <w:rsid w:val="002D2A4C"/>
    <w:rsid w:val="002D499A"/>
    <w:rsid w:val="002F6E86"/>
    <w:rsid w:val="00326CF2"/>
    <w:rsid w:val="003421BD"/>
    <w:rsid w:val="00344553"/>
    <w:rsid w:val="00346695"/>
    <w:rsid w:val="00351BF5"/>
    <w:rsid w:val="0037795E"/>
    <w:rsid w:val="00380E88"/>
    <w:rsid w:val="00393919"/>
    <w:rsid w:val="003A6BD5"/>
    <w:rsid w:val="003B0A2D"/>
    <w:rsid w:val="003D5A20"/>
    <w:rsid w:val="003E0963"/>
    <w:rsid w:val="003E2711"/>
    <w:rsid w:val="003E6A8B"/>
    <w:rsid w:val="003F1329"/>
    <w:rsid w:val="003F6A56"/>
    <w:rsid w:val="00413ABE"/>
    <w:rsid w:val="00413C95"/>
    <w:rsid w:val="0043065E"/>
    <w:rsid w:val="00435EA2"/>
    <w:rsid w:val="00437E70"/>
    <w:rsid w:val="004709BD"/>
    <w:rsid w:val="00472D86"/>
    <w:rsid w:val="00484737"/>
    <w:rsid w:val="00485B2E"/>
    <w:rsid w:val="00485F09"/>
    <w:rsid w:val="00496D69"/>
    <w:rsid w:val="004A078E"/>
    <w:rsid w:val="004B1526"/>
    <w:rsid w:val="004C57A4"/>
    <w:rsid w:val="004D3BF2"/>
    <w:rsid w:val="004D51F0"/>
    <w:rsid w:val="004F17A8"/>
    <w:rsid w:val="004F43FB"/>
    <w:rsid w:val="00503CF8"/>
    <w:rsid w:val="005141B3"/>
    <w:rsid w:val="0051471F"/>
    <w:rsid w:val="00522B65"/>
    <w:rsid w:val="00532BB4"/>
    <w:rsid w:val="00533BBC"/>
    <w:rsid w:val="00533C35"/>
    <w:rsid w:val="00547158"/>
    <w:rsid w:val="0055290F"/>
    <w:rsid w:val="00553EDC"/>
    <w:rsid w:val="00566101"/>
    <w:rsid w:val="005706F1"/>
    <w:rsid w:val="00574E19"/>
    <w:rsid w:val="005A4B7A"/>
    <w:rsid w:val="005E21D9"/>
    <w:rsid w:val="005E32E0"/>
    <w:rsid w:val="005E415D"/>
    <w:rsid w:val="005F11A2"/>
    <w:rsid w:val="005F6B76"/>
    <w:rsid w:val="0060182E"/>
    <w:rsid w:val="00612DF6"/>
    <w:rsid w:val="00613FC6"/>
    <w:rsid w:val="006239F1"/>
    <w:rsid w:val="00624D20"/>
    <w:rsid w:val="0062770E"/>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6A9C"/>
    <w:rsid w:val="007359BF"/>
    <w:rsid w:val="00743F26"/>
    <w:rsid w:val="00751942"/>
    <w:rsid w:val="007540E0"/>
    <w:rsid w:val="007544A8"/>
    <w:rsid w:val="0076668B"/>
    <w:rsid w:val="007749D9"/>
    <w:rsid w:val="00780F57"/>
    <w:rsid w:val="007914E0"/>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550F0"/>
    <w:rsid w:val="008631A7"/>
    <w:rsid w:val="00876CBB"/>
    <w:rsid w:val="00891265"/>
    <w:rsid w:val="00897498"/>
    <w:rsid w:val="00897F0B"/>
    <w:rsid w:val="008C2559"/>
    <w:rsid w:val="008C2974"/>
    <w:rsid w:val="008E01C3"/>
    <w:rsid w:val="008E3D62"/>
    <w:rsid w:val="008E4142"/>
    <w:rsid w:val="008F2375"/>
    <w:rsid w:val="00905110"/>
    <w:rsid w:val="00910B58"/>
    <w:rsid w:val="00911717"/>
    <w:rsid w:val="009163A5"/>
    <w:rsid w:val="0091738B"/>
    <w:rsid w:val="00917C44"/>
    <w:rsid w:val="009203A2"/>
    <w:rsid w:val="009508F2"/>
    <w:rsid w:val="00950F95"/>
    <w:rsid w:val="00953363"/>
    <w:rsid w:val="0096007E"/>
    <w:rsid w:val="00972601"/>
    <w:rsid w:val="0097786E"/>
    <w:rsid w:val="00987BC9"/>
    <w:rsid w:val="009A18A7"/>
    <w:rsid w:val="009E1AB2"/>
    <w:rsid w:val="009E24E9"/>
    <w:rsid w:val="009F480A"/>
    <w:rsid w:val="00A007B1"/>
    <w:rsid w:val="00A02200"/>
    <w:rsid w:val="00A45496"/>
    <w:rsid w:val="00A45FE5"/>
    <w:rsid w:val="00A51431"/>
    <w:rsid w:val="00A525F0"/>
    <w:rsid w:val="00A566A2"/>
    <w:rsid w:val="00A5731A"/>
    <w:rsid w:val="00A677C3"/>
    <w:rsid w:val="00A72B9B"/>
    <w:rsid w:val="00A952EA"/>
    <w:rsid w:val="00AA4ED9"/>
    <w:rsid w:val="00AD00CE"/>
    <w:rsid w:val="00AD1B6E"/>
    <w:rsid w:val="00AD5C9B"/>
    <w:rsid w:val="00AE07DE"/>
    <w:rsid w:val="00B03AF4"/>
    <w:rsid w:val="00B03DD6"/>
    <w:rsid w:val="00B20E37"/>
    <w:rsid w:val="00B31AAE"/>
    <w:rsid w:val="00B35E0C"/>
    <w:rsid w:val="00B447E6"/>
    <w:rsid w:val="00B62882"/>
    <w:rsid w:val="00B65F8F"/>
    <w:rsid w:val="00B70C7B"/>
    <w:rsid w:val="00B716A6"/>
    <w:rsid w:val="00B75BBC"/>
    <w:rsid w:val="00B76831"/>
    <w:rsid w:val="00B76B61"/>
    <w:rsid w:val="00B77F67"/>
    <w:rsid w:val="00B81176"/>
    <w:rsid w:val="00B913C7"/>
    <w:rsid w:val="00B95452"/>
    <w:rsid w:val="00B96B34"/>
    <w:rsid w:val="00BA3EDF"/>
    <w:rsid w:val="00BA517C"/>
    <w:rsid w:val="00BC0A3B"/>
    <w:rsid w:val="00BC3150"/>
    <w:rsid w:val="00BC4BEA"/>
    <w:rsid w:val="00BD31C6"/>
    <w:rsid w:val="00BE533B"/>
    <w:rsid w:val="00C06302"/>
    <w:rsid w:val="00C25C7E"/>
    <w:rsid w:val="00C312EA"/>
    <w:rsid w:val="00C375AF"/>
    <w:rsid w:val="00C401F8"/>
    <w:rsid w:val="00C44C35"/>
    <w:rsid w:val="00C472D6"/>
    <w:rsid w:val="00C526D5"/>
    <w:rsid w:val="00C60822"/>
    <w:rsid w:val="00C61072"/>
    <w:rsid w:val="00C87C5C"/>
    <w:rsid w:val="00C87D49"/>
    <w:rsid w:val="00C905A7"/>
    <w:rsid w:val="00CB034C"/>
    <w:rsid w:val="00CB4FDB"/>
    <w:rsid w:val="00CB51AD"/>
    <w:rsid w:val="00CC2F3E"/>
    <w:rsid w:val="00CF7208"/>
    <w:rsid w:val="00D01E04"/>
    <w:rsid w:val="00D17D13"/>
    <w:rsid w:val="00D17EC3"/>
    <w:rsid w:val="00D20E78"/>
    <w:rsid w:val="00D2724B"/>
    <w:rsid w:val="00D332C0"/>
    <w:rsid w:val="00D3403D"/>
    <w:rsid w:val="00D363B6"/>
    <w:rsid w:val="00D37422"/>
    <w:rsid w:val="00D46E69"/>
    <w:rsid w:val="00D61422"/>
    <w:rsid w:val="00D761DC"/>
    <w:rsid w:val="00DB2463"/>
    <w:rsid w:val="00DC5272"/>
    <w:rsid w:val="00DC769E"/>
    <w:rsid w:val="00DD2A0D"/>
    <w:rsid w:val="00DD5296"/>
    <w:rsid w:val="00DE122E"/>
    <w:rsid w:val="00DE3CBB"/>
    <w:rsid w:val="00DE76CB"/>
    <w:rsid w:val="00DF0D26"/>
    <w:rsid w:val="00DF7D10"/>
    <w:rsid w:val="00E103FB"/>
    <w:rsid w:val="00E11069"/>
    <w:rsid w:val="00E359AC"/>
    <w:rsid w:val="00E42AEE"/>
    <w:rsid w:val="00E43A5D"/>
    <w:rsid w:val="00E533D0"/>
    <w:rsid w:val="00E55071"/>
    <w:rsid w:val="00E60EE1"/>
    <w:rsid w:val="00E72F99"/>
    <w:rsid w:val="00E77DF6"/>
    <w:rsid w:val="00E8352B"/>
    <w:rsid w:val="00EA468F"/>
    <w:rsid w:val="00EA6A49"/>
    <w:rsid w:val="00EA792E"/>
    <w:rsid w:val="00EA7EEE"/>
    <w:rsid w:val="00EB04E2"/>
    <w:rsid w:val="00EC4BF6"/>
    <w:rsid w:val="00ED3A3C"/>
    <w:rsid w:val="00F03C60"/>
    <w:rsid w:val="00F12A85"/>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58C60"/>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B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1475-B798-424E-953B-66C929E4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2019-10-29T12:45:00Z</cp:lastPrinted>
  <dcterms:created xsi:type="dcterms:W3CDTF">2019-11-11T10:58:00Z</dcterms:created>
  <dcterms:modified xsi:type="dcterms:W3CDTF">2019-11-11T10:58:00Z</dcterms:modified>
</cp:coreProperties>
</file>