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B1E2F"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66952">
        <w:rPr>
          <w:u w:val="none"/>
        </w:rPr>
        <w:t>1276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43E5A">
        <w:rPr>
          <w:rFonts w:ascii="Arial" w:hAnsi="Arial" w:cs="Arial"/>
          <w:b/>
          <w:bCs/>
        </w:rPr>
        <w:t xml:space="preserve">FRIDAY, </w:t>
      </w:r>
      <w:r w:rsidR="00766952">
        <w:rPr>
          <w:rFonts w:ascii="Arial" w:hAnsi="Arial" w:cs="Arial"/>
          <w:b/>
          <w:bCs/>
        </w:rPr>
        <w:t>26 APRIL</w:t>
      </w:r>
      <w:r w:rsidR="008B6896">
        <w:rPr>
          <w:rFonts w:ascii="Arial" w:hAnsi="Arial" w:cs="Arial"/>
          <w:b/>
          <w:bCs/>
        </w:rPr>
        <w:t xml:space="preserve"> </w:t>
      </w:r>
      <w:r w:rsidR="001B2CD7">
        <w:rPr>
          <w:rFonts w:ascii="Arial" w:hAnsi="Arial" w:cs="Arial"/>
          <w:b/>
          <w:bCs/>
        </w:rPr>
        <w:t>201</w:t>
      </w:r>
      <w:r w:rsidR="00CB7F05">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766952" w:rsidP="00C3335E">
      <w:pPr>
        <w:pStyle w:val="Heading2"/>
        <w:spacing w:line="320" w:lineRule="exact"/>
        <w:jc w:val="both"/>
        <w:rPr>
          <w:u w:val="none"/>
        </w:rPr>
      </w:pPr>
      <w:r>
        <w:rPr>
          <w:u w:val="none"/>
        </w:rPr>
        <w:t>INTERNAL QUESTION PAPER 13</w:t>
      </w:r>
      <w:r w:rsidR="00714D67">
        <w:rPr>
          <w:u w:val="none"/>
        </w:rPr>
        <w:t xml:space="preserve"> </w:t>
      </w:r>
      <w:r w:rsidR="009357F9">
        <w:rPr>
          <w:u w:val="none"/>
        </w:rPr>
        <w:t>OF 201</w:t>
      </w:r>
      <w:r w:rsidR="00CB7F05">
        <w:rPr>
          <w:u w:val="none"/>
        </w:rPr>
        <w:t>8</w:t>
      </w:r>
    </w:p>
    <w:p w:rsidR="009357F9" w:rsidRDefault="009357F9" w:rsidP="002520FF">
      <w:pPr>
        <w:spacing w:line="320" w:lineRule="exact"/>
        <w:jc w:val="both"/>
        <w:rPr>
          <w:rFonts w:ascii="Arial" w:hAnsi="Arial" w:cs="Arial"/>
          <w:b/>
          <w:lang w:val="en-US"/>
        </w:rPr>
      </w:pPr>
    </w:p>
    <w:p w:rsidR="00766952" w:rsidRPr="007C76F7" w:rsidRDefault="00766952" w:rsidP="00766952">
      <w:pPr>
        <w:spacing w:before="100" w:beforeAutospacing="1" w:after="100" w:afterAutospacing="1"/>
        <w:ind w:left="720" w:hanging="720"/>
        <w:jc w:val="both"/>
        <w:outlineLvl w:val="0"/>
        <w:rPr>
          <w:rFonts w:ascii="Arial" w:hAnsi="Arial" w:cs="Arial"/>
          <w:lang w:val="en-US"/>
        </w:rPr>
      </w:pPr>
      <w:r w:rsidRPr="007C76F7">
        <w:rPr>
          <w:rFonts w:ascii="Arial" w:hAnsi="Arial" w:cs="Arial"/>
          <w:b/>
          <w:bCs/>
          <w:lang w:val="en-ZA"/>
        </w:rPr>
        <w:t>1276.</w:t>
      </w:r>
      <w:r w:rsidRPr="007C76F7">
        <w:rPr>
          <w:rFonts w:ascii="Arial" w:hAnsi="Arial" w:cs="Arial"/>
          <w:b/>
          <w:bCs/>
          <w:lang w:val="en-ZA"/>
        </w:rPr>
        <w:tab/>
        <w:t xml:space="preserve">Mr M Waters </w:t>
      </w:r>
      <w:r w:rsidRPr="007C76F7">
        <w:rPr>
          <w:rFonts w:ascii="Arial" w:hAnsi="Arial" w:cs="Arial"/>
          <w:b/>
          <w:lang w:val="en-US"/>
        </w:rPr>
        <w:t>(DA) to ask the Minister of Home Affairs:</w:t>
      </w:r>
    </w:p>
    <w:p w:rsidR="00766952" w:rsidRPr="007C76F7" w:rsidRDefault="00766952" w:rsidP="007C76F7">
      <w:pPr>
        <w:spacing w:before="100" w:beforeAutospacing="1" w:after="100" w:afterAutospacing="1" w:line="320" w:lineRule="atLeast"/>
        <w:ind w:left="709" w:hanging="709"/>
        <w:jc w:val="both"/>
        <w:rPr>
          <w:rFonts w:ascii="Arial" w:hAnsi="Arial" w:cs="Arial"/>
          <w:color w:val="000000"/>
          <w:lang w:val="en-US" w:eastAsia="en-ZA"/>
        </w:rPr>
      </w:pPr>
      <w:r w:rsidRPr="007C76F7">
        <w:rPr>
          <w:rFonts w:ascii="Arial" w:hAnsi="Arial" w:cs="Arial"/>
          <w:color w:val="000000"/>
          <w:lang w:val="en-US" w:eastAsia="en-ZA"/>
        </w:rPr>
        <w:t>(1)</w:t>
      </w:r>
      <w:r w:rsidRPr="007C76F7">
        <w:rPr>
          <w:rFonts w:ascii="Arial" w:hAnsi="Arial" w:cs="Arial"/>
          <w:color w:val="000000"/>
          <w:lang w:val="en-US" w:eastAsia="en-ZA"/>
        </w:rPr>
        <w:tab/>
        <w:t>With regard to the presentation by the Electoral Commission of South Africa (IEC) to the Portfolio Committee on Home Affairs on 27 February 2017, what steps are being taken to ensure that the average number of registered voters at voting stations in (a) Gauteng and (b) the Western Cape is reduced from 2 295 and 1 933 registered voters per voting station respectively to the national average of 1 164 registered voters per voting station; </w:t>
      </w:r>
    </w:p>
    <w:p w:rsidR="00766952" w:rsidRPr="007C76F7" w:rsidRDefault="00766952" w:rsidP="007C76F7">
      <w:pPr>
        <w:spacing w:before="100" w:beforeAutospacing="1" w:after="100" w:afterAutospacing="1" w:line="320" w:lineRule="atLeast"/>
        <w:ind w:left="709" w:hanging="709"/>
        <w:jc w:val="both"/>
        <w:rPr>
          <w:rFonts w:ascii="Arial" w:hAnsi="Arial" w:cs="Arial"/>
          <w:color w:val="000000"/>
          <w:lang w:val="en-US" w:eastAsia="en-ZA"/>
        </w:rPr>
      </w:pPr>
      <w:r w:rsidRPr="007C76F7">
        <w:rPr>
          <w:rFonts w:ascii="Arial" w:hAnsi="Arial" w:cs="Arial"/>
          <w:color w:val="000000"/>
          <w:lang w:val="en-US" w:eastAsia="en-ZA"/>
        </w:rPr>
        <w:t>(2)</w:t>
      </w:r>
      <w:r w:rsidRPr="007C76F7">
        <w:rPr>
          <w:rFonts w:ascii="Arial" w:hAnsi="Arial" w:cs="Arial"/>
          <w:color w:val="000000"/>
          <w:lang w:val="en-US" w:eastAsia="en-ZA"/>
        </w:rPr>
        <w:tab/>
        <w:t>what are the reasons that the most rural province in the country, Northern Cape, has an average of 875 registered voters per voting station, while the Eastern Cape and Limpopo have 710 and 821 registered voters per voting station respectively; </w:t>
      </w:r>
    </w:p>
    <w:p w:rsidR="00766952" w:rsidRPr="007C76F7" w:rsidRDefault="00766952" w:rsidP="007C76F7">
      <w:pPr>
        <w:spacing w:before="100" w:beforeAutospacing="1" w:after="100" w:afterAutospacing="1" w:line="320" w:lineRule="atLeast"/>
        <w:ind w:left="709" w:hanging="709"/>
        <w:jc w:val="both"/>
        <w:rPr>
          <w:rFonts w:ascii="Arial" w:hAnsi="Arial" w:cs="Arial"/>
          <w:lang w:val="en-US" w:eastAsia="en-ZA"/>
        </w:rPr>
      </w:pPr>
      <w:r w:rsidRPr="007C76F7">
        <w:rPr>
          <w:rFonts w:ascii="Arial" w:hAnsi="Arial" w:cs="Arial"/>
          <w:color w:val="000000"/>
          <w:lang w:val="en-US" w:eastAsia="en-ZA"/>
        </w:rPr>
        <w:t>(3)</w:t>
      </w:r>
      <w:r w:rsidRPr="007C76F7">
        <w:rPr>
          <w:rFonts w:ascii="Arial" w:hAnsi="Arial" w:cs="Arial"/>
          <w:color w:val="000000"/>
          <w:lang w:val="en-US" w:eastAsia="en-ZA"/>
        </w:rPr>
        <w:tab/>
        <w:t>on what date will the IEC ensure provinces have roughly the same amount of registered voters in each voting district instead of the 323% variance between Gauteng and the Eastern Cape</w:t>
      </w:r>
      <w:r w:rsidRPr="007C76F7">
        <w:rPr>
          <w:rFonts w:ascii="Arial" w:hAnsi="Arial" w:cs="Arial"/>
          <w:lang w:val="en-US" w:eastAsia="en-ZA"/>
        </w:rPr>
        <w:t>?</w:t>
      </w:r>
      <w:r w:rsidRPr="007C76F7">
        <w:rPr>
          <w:rFonts w:ascii="Arial" w:hAnsi="Arial" w:cs="Arial"/>
          <w:lang w:val="en-US" w:eastAsia="en-ZA"/>
        </w:rPr>
        <w:tab/>
      </w:r>
      <w:r w:rsidRPr="007C76F7">
        <w:rPr>
          <w:rFonts w:ascii="Arial" w:hAnsi="Arial" w:cs="Arial"/>
          <w:lang w:val="en-US" w:eastAsia="en-ZA"/>
        </w:rPr>
        <w:tab/>
        <w:t>NW1376E</w:t>
      </w:r>
    </w:p>
    <w:p w:rsidR="00FF55EE" w:rsidRPr="009357F9" w:rsidRDefault="007C76F7" w:rsidP="00C02879">
      <w:pPr>
        <w:spacing w:line="320" w:lineRule="exact"/>
        <w:jc w:val="both"/>
        <w:rPr>
          <w:rFonts w:ascii="Arial" w:hAnsi="Arial" w:cs="Arial"/>
          <w:b/>
        </w:rPr>
      </w:pPr>
      <w:r>
        <w:rPr>
          <w:rFonts w:ascii="Arial" w:hAnsi="Arial" w:cs="Arial"/>
          <w:b/>
        </w:rPr>
        <w:t>RE</w:t>
      </w:r>
      <w:r w:rsidR="00FF55EE" w:rsidRPr="009357F9">
        <w:rPr>
          <w:rFonts w:ascii="Arial" w:hAnsi="Arial" w:cs="Arial"/>
          <w:b/>
        </w:rPr>
        <w:t>PLY:</w:t>
      </w:r>
    </w:p>
    <w:p w:rsidR="00585140" w:rsidRDefault="00585140" w:rsidP="00C3335E">
      <w:pPr>
        <w:tabs>
          <w:tab w:val="left" w:pos="432"/>
          <w:tab w:val="left" w:pos="864"/>
        </w:tabs>
        <w:spacing w:line="320" w:lineRule="exact"/>
        <w:jc w:val="both"/>
        <w:rPr>
          <w:rFonts w:ascii="Arial" w:hAnsi="Arial" w:cs="Arial"/>
        </w:rPr>
      </w:pPr>
    </w:p>
    <w:p w:rsidR="005F01DF" w:rsidRDefault="005F01DF" w:rsidP="00C3335E">
      <w:pPr>
        <w:tabs>
          <w:tab w:val="left" w:pos="432"/>
          <w:tab w:val="left" w:pos="864"/>
        </w:tabs>
        <w:spacing w:line="320" w:lineRule="exact"/>
        <w:jc w:val="both"/>
        <w:rPr>
          <w:rFonts w:ascii="Arial" w:hAnsi="Arial" w:cs="Arial"/>
        </w:rPr>
      </w:pPr>
      <w:r>
        <w:rPr>
          <w:rFonts w:ascii="Arial" w:hAnsi="Arial" w:cs="Arial"/>
        </w:rPr>
        <w:t>The question was referred to the Electoral Commission which responded as follows:</w:t>
      </w:r>
    </w:p>
    <w:p w:rsidR="005F01DF" w:rsidRDefault="005F01DF" w:rsidP="00C3335E">
      <w:pPr>
        <w:tabs>
          <w:tab w:val="left" w:pos="432"/>
          <w:tab w:val="left" w:pos="864"/>
        </w:tabs>
        <w:spacing w:line="320" w:lineRule="exact"/>
        <w:jc w:val="both"/>
        <w:rPr>
          <w:rFonts w:ascii="Arial" w:hAnsi="Arial" w:cs="Arial"/>
        </w:rPr>
      </w:pPr>
    </w:p>
    <w:p w:rsidR="007C76F7" w:rsidRPr="007C76F7" w:rsidRDefault="007C76F7" w:rsidP="005F01DF">
      <w:pPr>
        <w:numPr>
          <w:ilvl w:val="0"/>
          <w:numId w:val="39"/>
        </w:numPr>
        <w:tabs>
          <w:tab w:val="left" w:pos="709"/>
          <w:tab w:val="left" w:pos="864"/>
        </w:tabs>
        <w:spacing w:line="320" w:lineRule="exact"/>
        <w:ind w:left="709" w:hanging="709"/>
        <w:jc w:val="both"/>
        <w:rPr>
          <w:rFonts w:ascii="Arial" w:hAnsi="Arial" w:cs="Arial"/>
        </w:rPr>
      </w:pPr>
      <w:r w:rsidRPr="007C76F7">
        <w:rPr>
          <w:rFonts w:ascii="Arial" w:hAnsi="Arial" w:cs="Arial"/>
        </w:rPr>
        <w:t xml:space="preserve">In order to ameliorate long queues and waiting times at voting stations on voting day, the Electoral Commission has introduced the concept of voting centres since 2009. Voting centres are operated on the basis of establishing multiple sub-stations within a voting station. In 2016, this enabled the average number of 2296 and 1934 voters in Gauteng and the Western Cape voting stations respectively, to decrease to 1613 and 1474 respectively. We currently have 2599 voting centres, which in turn provides for 6263 substations. The table below takes into account the number of sub-stations in the calculation of the average number of </w:t>
      </w:r>
      <w:r w:rsidRPr="007C76F7">
        <w:rPr>
          <w:rFonts w:ascii="Arial" w:hAnsi="Arial" w:cs="Arial"/>
        </w:rPr>
        <w:lastRenderedPageBreak/>
        <w:t xml:space="preserve">voters per voting stations. In the context of limited venues consisting of requisite amenities and high population density, the concept of the voting centres is the preferred method of operation. </w:t>
      </w:r>
    </w:p>
    <w:p w:rsidR="007C76F7" w:rsidRPr="007C76F7" w:rsidRDefault="007C76F7" w:rsidP="007C76F7">
      <w:pPr>
        <w:tabs>
          <w:tab w:val="left" w:pos="432"/>
          <w:tab w:val="left" w:pos="864"/>
        </w:tabs>
        <w:spacing w:line="320" w:lineRule="exact"/>
        <w:jc w:val="both"/>
        <w:rPr>
          <w:rFonts w:ascii="Arial" w:hAnsi="Arial" w:cs="Arial"/>
        </w:rPr>
      </w:pPr>
    </w:p>
    <w:tbl>
      <w:tblPr>
        <w:tblW w:w="10180" w:type="dxa"/>
        <w:tblInd w:w="-259" w:type="dxa"/>
        <w:tblLook w:val="04A0"/>
      </w:tblPr>
      <w:tblGrid>
        <w:gridCol w:w="1470"/>
        <w:gridCol w:w="1595"/>
        <w:gridCol w:w="1296"/>
        <w:gridCol w:w="1585"/>
        <w:gridCol w:w="1238"/>
        <w:gridCol w:w="1242"/>
        <w:gridCol w:w="1754"/>
      </w:tblGrid>
      <w:tr w:rsidR="007C76F7" w:rsidRPr="007C76F7" w:rsidTr="0093253C">
        <w:trPr>
          <w:trHeight w:val="1152"/>
        </w:trPr>
        <w:tc>
          <w:tcPr>
            <w:tcW w:w="147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PROVINCE</w:t>
            </w:r>
          </w:p>
        </w:tc>
        <w:tc>
          <w:tcPr>
            <w:tcW w:w="1595"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LGE 2016 Reg Voters</w:t>
            </w:r>
          </w:p>
        </w:tc>
        <w:tc>
          <w:tcPr>
            <w:tcW w:w="1296"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 xml:space="preserve">LGE 2016  Voting Districts </w:t>
            </w:r>
          </w:p>
        </w:tc>
        <w:tc>
          <w:tcPr>
            <w:tcW w:w="1585"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 xml:space="preserve">LGE 2016 Average reg voters per voting district </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LGE 2016 voting centres</w:t>
            </w:r>
          </w:p>
        </w:tc>
        <w:tc>
          <w:tcPr>
            <w:tcW w:w="1242"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Voting Centre sub-stations</w:t>
            </w:r>
          </w:p>
        </w:tc>
        <w:tc>
          <w:tcPr>
            <w:tcW w:w="1754"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LGE 2016 Average reg voters per voting station/sub-station</w:t>
            </w:r>
          </w:p>
        </w:tc>
      </w:tr>
      <w:tr w:rsidR="007C76F7" w:rsidRPr="007C76F7" w:rsidTr="0093253C">
        <w:trPr>
          <w:trHeight w:val="320"/>
        </w:trPr>
        <w:tc>
          <w:tcPr>
            <w:tcW w:w="1470" w:type="dxa"/>
            <w:vMerge/>
            <w:tcBorders>
              <w:top w:val="single" w:sz="4" w:space="0" w:color="auto"/>
              <w:left w:val="single" w:sz="4" w:space="0" w:color="auto"/>
              <w:bottom w:val="single" w:sz="4" w:space="0" w:color="auto"/>
              <w:right w:val="single" w:sz="4" w:space="0" w:color="auto"/>
            </w:tcBorders>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p>
        </w:tc>
        <w:tc>
          <w:tcPr>
            <w:tcW w:w="1754" w:type="dxa"/>
            <w:vMerge/>
            <w:tcBorders>
              <w:top w:val="single" w:sz="4" w:space="0" w:color="auto"/>
              <w:left w:val="single" w:sz="4" w:space="0" w:color="auto"/>
              <w:bottom w:val="single" w:sz="4" w:space="0" w:color="auto"/>
              <w:right w:val="single" w:sz="4" w:space="0" w:color="auto"/>
            </w:tcBorders>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p>
        </w:tc>
      </w:tr>
      <w:tr w:rsidR="007C76F7" w:rsidRPr="007C76F7" w:rsidTr="0093253C">
        <w:trPr>
          <w:trHeight w:val="288"/>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 </w:t>
            </w:r>
          </w:p>
        </w:tc>
        <w:tc>
          <w:tcPr>
            <w:tcW w:w="159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 </w:t>
            </w:r>
          </w:p>
        </w:tc>
        <w:tc>
          <w:tcPr>
            <w:tcW w:w="1296"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 </w:t>
            </w:r>
          </w:p>
        </w:tc>
        <w:tc>
          <w:tcPr>
            <w:tcW w:w="158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 </w:t>
            </w:r>
          </w:p>
        </w:tc>
        <w:tc>
          <w:tcPr>
            <w:tcW w:w="1238"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 </w:t>
            </w:r>
          </w:p>
        </w:tc>
        <w:tc>
          <w:tcPr>
            <w:tcW w:w="1242"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 </w:t>
            </w:r>
          </w:p>
        </w:tc>
        <w:tc>
          <w:tcPr>
            <w:tcW w:w="1754"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 </w:t>
            </w:r>
          </w:p>
        </w:tc>
      </w:tr>
      <w:tr w:rsidR="007C76F7" w:rsidRPr="007C76F7" w:rsidTr="0093253C">
        <w:trPr>
          <w:trHeight w:val="288"/>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EC</w:t>
            </w:r>
          </w:p>
        </w:tc>
        <w:tc>
          <w:tcPr>
            <w:tcW w:w="159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3,337,532</w:t>
            </w:r>
          </w:p>
        </w:tc>
        <w:tc>
          <w:tcPr>
            <w:tcW w:w="1296"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4,699</w:t>
            </w:r>
          </w:p>
        </w:tc>
        <w:tc>
          <w:tcPr>
            <w:tcW w:w="158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710</w:t>
            </w:r>
          </w:p>
        </w:tc>
        <w:tc>
          <w:tcPr>
            <w:tcW w:w="1238"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103</w:t>
            </w:r>
          </w:p>
        </w:tc>
        <w:tc>
          <w:tcPr>
            <w:tcW w:w="1242"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215</w:t>
            </w:r>
          </w:p>
        </w:tc>
        <w:tc>
          <w:tcPr>
            <w:tcW w:w="1754"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694</w:t>
            </w:r>
          </w:p>
        </w:tc>
      </w:tr>
      <w:tr w:rsidR="007C76F7" w:rsidRPr="007C76F7" w:rsidTr="0093253C">
        <w:trPr>
          <w:trHeight w:val="288"/>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FS</w:t>
            </w:r>
          </w:p>
        </w:tc>
        <w:tc>
          <w:tcPr>
            <w:tcW w:w="159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1,470,999</w:t>
            </w:r>
          </w:p>
        </w:tc>
        <w:tc>
          <w:tcPr>
            <w:tcW w:w="1296"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1,531</w:t>
            </w:r>
          </w:p>
        </w:tc>
        <w:tc>
          <w:tcPr>
            <w:tcW w:w="158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961</w:t>
            </w:r>
          </w:p>
        </w:tc>
        <w:tc>
          <w:tcPr>
            <w:tcW w:w="1238"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225</w:t>
            </w:r>
          </w:p>
        </w:tc>
        <w:tc>
          <w:tcPr>
            <w:tcW w:w="1242"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472</w:t>
            </w:r>
          </w:p>
        </w:tc>
        <w:tc>
          <w:tcPr>
            <w:tcW w:w="1754"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827</w:t>
            </w:r>
          </w:p>
        </w:tc>
      </w:tr>
      <w:tr w:rsidR="007C76F7" w:rsidRPr="007C76F7" w:rsidTr="0093253C">
        <w:trPr>
          <w:trHeight w:val="288"/>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GT</w:t>
            </w:r>
          </w:p>
        </w:tc>
        <w:tc>
          <w:tcPr>
            <w:tcW w:w="159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6,234,822</w:t>
            </w:r>
          </w:p>
        </w:tc>
        <w:tc>
          <w:tcPr>
            <w:tcW w:w="1296"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2,716</w:t>
            </w:r>
          </w:p>
        </w:tc>
        <w:tc>
          <w:tcPr>
            <w:tcW w:w="158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2,296</w:t>
            </w:r>
          </w:p>
        </w:tc>
        <w:tc>
          <w:tcPr>
            <w:tcW w:w="1238"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610</w:t>
            </w:r>
          </w:p>
        </w:tc>
        <w:tc>
          <w:tcPr>
            <w:tcW w:w="1242"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1760</w:t>
            </w:r>
          </w:p>
        </w:tc>
        <w:tc>
          <w:tcPr>
            <w:tcW w:w="1754"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1613</w:t>
            </w:r>
          </w:p>
        </w:tc>
      </w:tr>
      <w:tr w:rsidR="007C76F7" w:rsidRPr="007C76F7" w:rsidTr="0093253C">
        <w:trPr>
          <w:trHeight w:val="288"/>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KZN</w:t>
            </w:r>
          </w:p>
        </w:tc>
        <w:tc>
          <w:tcPr>
            <w:tcW w:w="159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5,411,237</w:t>
            </w:r>
          </w:p>
        </w:tc>
        <w:tc>
          <w:tcPr>
            <w:tcW w:w="1296"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4,792</w:t>
            </w:r>
          </w:p>
        </w:tc>
        <w:tc>
          <w:tcPr>
            <w:tcW w:w="158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1,129</w:t>
            </w:r>
          </w:p>
        </w:tc>
        <w:tc>
          <w:tcPr>
            <w:tcW w:w="1238"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764</w:t>
            </w:r>
          </w:p>
        </w:tc>
        <w:tc>
          <w:tcPr>
            <w:tcW w:w="1242"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1757</w:t>
            </w:r>
          </w:p>
        </w:tc>
        <w:tc>
          <w:tcPr>
            <w:tcW w:w="1754"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935</w:t>
            </w:r>
          </w:p>
        </w:tc>
      </w:tr>
      <w:tr w:rsidR="007C76F7" w:rsidRPr="007C76F7" w:rsidTr="0093253C">
        <w:trPr>
          <w:trHeight w:val="288"/>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LIM</w:t>
            </w:r>
          </w:p>
        </w:tc>
        <w:tc>
          <w:tcPr>
            <w:tcW w:w="159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2,556,128</w:t>
            </w:r>
          </w:p>
        </w:tc>
        <w:tc>
          <w:tcPr>
            <w:tcW w:w="1296"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3,111</w:t>
            </w:r>
          </w:p>
        </w:tc>
        <w:tc>
          <w:tcPr>
            <w:tcW w:w="158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822</w:t>
            </w:r>
          </w:p>
        </w:tc>
        <w:tc>
          <w:tcPr>
            <w:tcW w:w="1238"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150</w:t>
            </w:r>
          </w:p>
        </w:tc>
        <w:tc>
          <w:tcPr>
            <w:tcW w:w="1242"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317</w:t>
            </w:r>
          </w:p>
        </w:tc>
        <w:tc>
          <w:tcPr>
            <w:tcW w:w="1754"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780</w:t>
            </w:r>
          </w:p>
        </w:tc>
      </w:tr>
      <w:tr w:rsidR="007C76F7" w:rsidRPr="007C76F7" w:rsidTr="0093253C">
        <w:trPr>
          <w:trHeight w:val="288"/>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MPL</w:t>
            </w:r>
          </w:p>
        </w:tc>
        <w:tc>
          <w:tcPr>
            <w:tcW w:w="159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1,919,216</w:t>
            </w:r>
          </w:p>
        </w:tc>
        <w:tc>
          <w:tcPr>
            <w:tcW w:w="1296"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1,744</w:t>
            </w:r>
          </w:p>
        </w:tc>
        <w:tc>
          <w:tcPr>
            <w:tcW w:w="158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1,100</w:t>
            </w:r>
          </w:p>
        </w:tc>
        <w:tc>
          <w:tcPr>
            <w:tcW w:w="1238"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184</w:t>
            </w:r>
          </w:p>
        </w:tc>
        <w:tc>
          <w:tcPr>
            <w:tcW w:w="1242"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469</w:t>
            </w:r>
          </w:p>
        </w:tc>
        <w:tc>
          <w:tcPr>
            <w:tcW w:w="1754"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946</w:t>
            </w:r>
          </w:p>
        </w:tc>
      </w:tr>
      <w:tr w:rsidR="007C76F7" w:rsidRPr="007C76F7" w:rsidTr="0093253C">
        <w:trPr>
          <w:trHeight w:val="288"/>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NW</w:t>
            </w:r>
          </w:p>
        </w:tc>
        <w:tc>
          <w:tcPr>
            <w:tcW w:w="159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1,715,460</w:t>
            </w:r>
          </w:p>
        </w:tc>
        <w:tc>
          <w:tcPr>
            <w:tcW w:w="1296"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1,723</w:t>
            </w:r>
          </w:p>
        </w:tc>
        <w:tc>
          <w:tcPr>
            <w:tcW w:w="158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996</w:t>
            </w:r>
          </w:p>
        </w:tc>
        <w:tc>
          <w:tcPr>
            <w:tcW w:w="1238"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171</w:t>
            </w:r>
          </w:p>
        </w:tc>
        <w:tc>
          <w:tcPr>
            <w:tcW w:w="1242"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359</w:t>
            </w:r>
          </w:p>
        </w:tc>
        <w:tc>
          <w:tcPr>
            <w:tcW w:w="1754"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898</w:t>
            </w:r>
          </w:p>
        </w:tc>
      </w:tr>
      <w:tr w:rsidR="007C76F7" w:rsidRPr="007C76F7" w:rsidTr="0093253C">
        <w:trPr>
          <w:trHeight w:val="288"/>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NC</w:t>
            </w:r>
          </w:p>
        </w:tc>
        <w:tc>
          <w:tcPr>
            <w:tcW w:w="159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621,310</w:t>
            </w:r>
          </w:p>
        </w:tc>
        <w:tc>
          <w:tcPr>
            <w:tcW w:w="1296"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710</w:t>
            </w:r>
          </w:p>
        </w:tc>
        <w:tc>
          <w:tcPr>
            <w:tcW w:w="158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875</w:t>
            </w:r>
          </w:p>
        </w:tc>
        <w:tc>
          <w:tcPr>
            <w:tcW w:w="1238"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20</w:t>
            </w:r>
          </w:p>
        </w:tc>
        <w:tc>
          <w:tcPr>
            <w:tcW w:w="1242"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48</w:t>
            </w:r>
          </w:p>
        </w:tc>
        <w:tc>
          <w:tcPr>
            <w:tcW w:w="1754"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842</w:t>
            </w:r>
          </w:p>
        </w:tc>
      </w:tr>
      <w:tr w:rsidR="007C76F7" w:rsidRPr="007C76F7" w:rsidTr="0093253C">
        <w:trPr>
          <w:trHeight w:val="288"/>
        </w:trPr>
        <w:tc>
          <w:tcPr>
            <w:tcW w:w="1470" w:type="dxa"/>
            <w:tcBorders>
              <w:top w:val="nil"/>
              <w:left w:val="single" w:sz="4" w:space="0" w:color="auto"/>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WC</w:t>
            </w:r>
          </w:p>
        </w:tc>
        <w:tc>
          <w:tcPr>
            <w:tcW w:w="159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3,066,649</w:t>
            </w:r>
          </w:p>
        </w:tc>
        <w:tc>
          <w:tcPr>
            <w:tcW w:w="1296"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1,586</w:t>
            </w:r>
          </w:p>
        </w:tc>
        <w:tc>
          <w:tcPr>
            <w:tcW w:w="1585"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1,934</w:t>
            </w:r>
          </w:p>
        </w:tc>
        <w:tc>
          <w:tcPr>
            <w:tcW w:w="1238"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372</w:t>
            </w:r>
          </w:p>
        </w:tc>
        <w:tc>
          <w:tcPr>
            <w:tcW w:w="1242"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866</w:t>
            </w:r>
          </w:p>
        </w:tc>
        <w:tc>
          <w:tcPr>
            <w:tcW w:w="1754" w:type="dxa"/>
            <w:tcBorders>
              <w:top w:val="nil"/>
              <w:left w:val="nil"/>
              <w:bottom w:val="single" w:sz="4" w:space="0" w:color="auto"/>
              <w:right w:val="single" w:sz="4" w:space="0" w:color="auto"/>
            </w:tcBorders>
            <w:shd w:val="clear" w:color="auto" w:fill="auto"/>
            <w:vAlign w:val="center"/>
            <w:hideMark/>
          </w:tcPr>
          <w:p w:rsidR="007C76F7" w:rsidRPr="007C76F7" w:rsidRDefault="007C76F7" w:rsidP="007C76F7">
            <w:pPr>
              <w:tabs>
                <w:tab w:val="left" w:pos="432"/>
                <w:tab w:val="left" w:pos="864"/>
              </w:tabs>
              <w:spacing w:line="320" w:lineRule="exact"/>
              <w:jc w:val="both"/>
              <w:rPr>
                <w:rFonts w:ascii="Arial" w:hAnsi="Arial" w:cs="Arial"/>
              </w:rPr>
            </w:pPr>
            <w:r w:rsidRPr="007C76F7">
              <w:rPr>
                <w:rFonts w:ascii="Arial" w:hAnsi="Arial" w:cs="Arial"/>
              </w:rPr>
              <w:t>1474</w:t>
            </w:r>
          </w:p>
        </w:tc>
      </w:tr>
      <w:tr w:rsidR="007C76F7" w:rsidRPr="007C76F7" w:rsidTr="0093253C">
        <w:trPr>
          <w:trHeight w:val="288"/>
        </w:trPr>
        <w:tc>
          <w:tcPr>
            <w:tcW w:w="1470" w:type="dxa"/>
            <w:tcBorders>
              <w:top w:val="nil"/>
              <w:left w:val="single" w:sz="4" w:space="0" w:color="auto"/>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 xml:space="preserve">National </w:t>
            </w:r>
          </w:p>
        </w:tc>
        <w:tc>
          <w:tcPr>
            <w:tcW w:w="1595" w:type="dxa"/>
            <w:tcBorders>
              <w:top w:val="nil"/>
              <w:left w:val="nil"/>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26,333,353</w:t>
            </w:r>
          </w:p>
        </w:tc>
        <w:tc>
          <w:tcPr>
            <w:tcW w:w="1296" w:type="dxa"/>
            <w:tcBorders>
              <w:top w:val="nil"/>
              <w:left w:val="nil"/>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22,612</w:t>
            </w:r>
          </w:p>
        </w:tc>
        <w:tc>
          <w:tcPr>
            <w:tcW w:w="1585" w:type="dxa"/>
            <w:tcBorders>
              <w:top w:val="nil"/>
              <w:left w:val="nil"/>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1,165</w:t>
            </w:r>
          </w:p>
        </w:tc>
        <w:tc>
          <w:tcPr>
            <w:tcW w:w="1238" w:type="dxa"/>
            <w:tcBorders>
              <w:top w:val="nil"/>
              <w:left w:val="nil"/>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2,599</w:t>
            </w:r>
          </w:p>
        </w:tc>
        <w:tc>
          <w:tcPr>
            <w:tcW w:w="1242" w:type="dxa"/>
            <w:tcBorders>
              <w:top w:val="nil"/>
              <w:left w:val="nil"/>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6263</w:t>
            </w:r>
          </w:p>
        </w:tc>
        <w:tc>
          <w:tcPr>
            <w:tcW w:w="1754" w:type="dxa"/>
            <w:tcBorders>
              <w:top w:val="nil"/>
              <w:left w:val="nil"/>
              <w:bottom w:val="single" w:sz="4" w:space="0" w:color="auto"/>
              <w:right w:val="single" w:sz="4" w:space="0" w:color="auto"/>
            </w:tcBorders>
            <w:shd w:val="clear" w:color="000000" w:fill="A6A6A6"/>
            <w:vAlign w:val="center"/>
            <w:hideMark/>
          </w:tcPr>
          <w:p w:rsidR="007C76F7" w:rsidRPr="007C76F7" w:rsidRDefault="007C76F7" w:rsidP="007C76F7">
            <w:pPr>
              <w:tabs>
                <w:tab w:val="left" w:pos="432"/>
                <w:tab w:val="left" w:pos="864"/>
              </w:tabs>
              <w:spacing w:line="320" w:lineRule="exact"/>
              <w:jc w:val="both"/>
              <w:rPr>
                <w:rFonts w:ascii="Arial" w:hAnsi="Arial" w:cs="Arial"/>
                <w:b/>
                <w:bCs/>
              </w:rPr>
            </w:pPr>
            <w:r w:rsidRPr="007C76F7">
              <w:rPr>
                <w:rFonts w:ascii="Arial" w:hAnsi="Arial" w:cs="Arial"/>
                <w:b/>
                <w:bCs/>
              </w:rPr>
              <w:t>1002</w:t>
            </w:r>
          </w:p>
        </w:tc>
      </w:tr>
    </w:tbl>
    <w:p w:rsidR="007C76F7" w:rsidRPr="007C76F7" w:rsidRDefault="007C76F7" w:rsidP="007C76F7">
      <w:pPr>
        <w:tabs>
          <w:tab w:val="left" w:pos="432"/>
          <w:tab w:val="left" w:pos="864"/>
        </w:tabs>
        <w:spacing w:line="320" w:lineRule="exact"/>
        <w:jc w:val="both"/>
        <w:rPr>
          <w:rFonts w:ascii="Arial" w:hAnsi="Arial" w:cs="Arial"/>
        </w:rPr>
      </w:pPr>
    </w:p>
    <w:p w:rsidR="007C76F7" w:rsidRPr="005F01DF" w:rsidRDefault="007C76F7" w:rsidP="0093253C">
      <w:pPr>
        <w:numPr>
          <w:ilvl w:val="0"/>
          <w:numId w:val="39"/>
        </w:numPr>
        <w:tabs>
          <w:tab w:val="left" w:pos="709"/>
          <w:tab w:val="left" w:pos="864"/>
        </w:tabs>
        <w:spacing w:line="320" w:lineRule="exact"/>
        <w:ind w:left="709" w:hanging="709"/>
        <w:jc w:val="both"/>
        <w:rPr>
          <w:rFonts w:ascii="Arial" w:hAnsi="Arial" w:cs="Arial"/>
        </w:rPr>
      </w:pPr>
      <w:r w:rsidRPr="005F01DF">
        <w:rPr>
          <w:rFonts w:ascii="Arial" w:hAnsi="Arial" w:cs="Arial"/>
        </w:rPr>
        <w:t>Northern Cape Province has the lowest population size with sparsely distributed human settlements. This influences the availability of facilities serving as voting stations. On the hand, Limpopo and Eastern Cape provinces are comprised of former homeland areas which characterized by village type settlements and which are supported by some type of public infrastructure such as schools, traditional authorities offices which can be used as voting stations. This leads to a lower average number of voters per voting station.</w:t>
      </w:r>
    </w:p>
    <w:p w:rsidR="007C76F7" w:rsidRPr="007C76F7" w:rsidRDefault="007C76F7" w:rsidP="007C76F7">
      <w:pPr>
        <w:tabs>
          <w:tab w:val="left" w:pos="432"/>
          <w:tab w:val="left" w:pos="864"/>
        </w:tabs>
        <w:spacing w:line="320" w:lineRule="exact"/>
        <w:jc w:val="both"/>
        <w:rPr>
          <w:rFonts w:ascii="Arial" w:hAnsi="Arial" w:cs="Arial"/>
        </w:rPr>
      </w:pPr>
    </w:p>
    <w:p w:rsidR="007C76F7" w:rsidRPr="007C76F7" w:rsidRDefault="007C76F7" w:rsidP="005F01DF">
      <w:pPr>
        <w:numPr>
          <w:ilvl w:val="0"/>
          <w:numId w:val="39"/>
        </w:numPr>
        <w:tabs>
          <w:tab w:val="left" w:pos="709"/>
        </w:tabs>
        <w:spacing w:line="320" w:lineRule="exact"/>
        <w:ind w:left="709" w:hanging="709"/>
        <w:jc w:val="both"/>
        <w:rPr>
          <w:rFonts w:ascii="Arial" w:hAnsi="Arial" w:cs="Arial"/>
        </w:rPr>
      </w:pPr>
      <w:r w:rsidRPr="007C76F7">
        <w:rPr>
          <w:rFonts w:ascii="Arial" w:hAnsi="Arial" w:cs="Arial"/>
        </w:rPr>
        <w:t>The different spatial characteristics of the country, different population densities and distributions, inward migration into urban centres and the uneven spread of public amenities serving as voting stations makes this proposition unrealistic. There are on-going efforts to address these differences including voting centres which enhance voter access to electoral process without destabili</w:t>
      </w:r>
      <w:r w:rsidR="005F01DF">
        <w:rPr>
          <w:rFonts w:ascii="Arial" w:hAnsi="Arial" w:cs="Arial"/>
        </w:rPr>
        <w:t>s</w:t>
      </w:r>
      <w:r w:rsidRPr="007C76F7">
        <w:rPr>
          <w:rFonts w:ascii="Arial" w:hAnsi="Arial" w:cs="Arial"/>
        </w:rPr>
        <w:t>ing the voters roll which has a geographic basis in its compilation.</w:t>
      </w:r>
    </w:p>
    <w:p w:rsidR="00C43E5A" w:rsidRPr="007C76F7" w:rsidRDefault="00C43E5A" w:rsidP="00C3335E">
      <w:pPr>
        <w:tabs>
          <w:tab w:val="left" w:pos="432"/>
          <w:tab w:val="left" w:pos="864"/>
        </w:tabs>
        <w:spacing w:line="320" w:lineRule="exact"/>
        <w:jc w:val="both"/>
        <w:rPr>
          <w:rFonts w:ascii="Arial" w:hAnsi="Arial" w:cs="Arial"/>
        </w:rPr>
      </w:pPr>
    </w:p>
    <w:sectPr w:rsidR="00C43E5A" w:rsidRPr="007C76F7" w:rsidSect="00713BC6">
      <w:headerReference w:type="even" r:id="rId9"/>
      <w:headerReference w:type="default" r:id="rId10"/>
      <w:pgSz w:w="11907" w:h="16839" w:code="9"/>
      <w:pgMar w:top="568" w:right="180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B9" w:rsidRDefault="009B77B9">
      <w:r>
        <w:separator/>
      </w:r>
    </w:p>
  </w:endnote>
  <w:endnote w:type="continuationSeparator" w:id="0">
    <w:p w:rsidR="009B77B9" w:rsidRDefault="009B7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B9" w:rsidRDefault="009B77B9">
      <w:r>
        <w:separator/>
      </w:r>
    </w:p>
  </w:footnote>
  <w:footnote w:type="continuationSeparator" w:id="0">
    <w:p w:rsidR="009B77B9" w:rsidRDefault="009B7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E2F">
      <w:rPr>
        <w:rStyle w:val="PageNumber"/>
        <w:noProof/>
      </w:rPr>
      <w:t>2</w:t>
    </w:r>
    <w:r>
      <w:rPr>
        <w:rStyle w:val="PageNumber"/>
      </w:rPr>
      <w:fldChar w:fldCharType="end"/>
    </w:r>
  </w:p>
  <w:p w:rsidR="007914E8" w:rsidRDefault="007914E8">
    <w:pPr>
      <w:pStyle w:val="Header"/>
    </w:pPr>
  </w:p>
  <w:p w:rsidR="005F01DF" w:rsidRDefault="005F0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0B60AB1"/>
    <w:multiLevelType w:val="hybridMultilevel"/>
    <w:tmpl w:val="1310D23A"/>
    <w:lvl w:ilvl="0" w:tplc="596E6B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6"/>
  </w:num>
  <w:num w:numId="4">
    <w:abstractNumId w:val="21"/>
  </w:num>
  <w:num w:numId="5">
    <w:abstractNumId w:val="4"/>
  </w:num>
  <w:num w:numId="6">
    <w:abstractNumId w:val="20"/>
  </w:num>
  <w:num w:numId="7">
    <w:abstractNumId w:val="30"/>
  </w:num>
  <w:num w:numId="8">
    <w:abstractNumId w:val="36"/>
  </w:num>
  <w:num w:numId="9">
    <w:abstractNumId w:val="12"/>
  </w:num>
  <w:num w:numId="10">
    <w:abstractNumId w:val="34"/>
  </w:num>
  <w:num w:numId="11">
    <w:abstractNumId w:val="15"/>
  </w:num>
  <w:num w:numId="12">
    <w:abstractNumId w:val="7"/>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7"/>
  </w:num>
  <w:num w:numId="27">
    <w:abstractNumId w:val="23"/>
  </w:num>
  <w:num w:numId="28">
    <w:abstractNumId w:val="14"/>
  </w:num>
  <w:num w:numId="29">
    <w:abstractNumId w:val="28"/>
  </w:num>
  <w:num w:numId="30">
    <w:abstractNumId w:val="19"/>
  </w:num>
  <w:num w:numId="31">
    <w:abstractNumId w:val="9"/>
  </w:num>
  <w:num w:numId="32">
    <w:abstractNumId w:val="13"/>
  </w:num>
  <w:num w:numId="33">
    <w:abstractNumId w:val="22"/>
  </w:num>
  <w:num w:numId="34">
    <w:abstractNumId w:val="35"/>
  </w:num>
  <w:num w:numId="35">
    <w:abstractNumId w:val="1"/>
  </w:num>
  <w:num w:numId="36">
    <w:abstractNumId w:val="32"/>
  </w:num>
  <w:num w:numId="37">
    <w:abstractNumId w:val="8"/>
  </w:num>
  <w:num w:numId="38">
    <w:abstractNumId w:val="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6E3F"/>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0D66"/>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5D00"/>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298"/>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1DF"/>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1EF1"/>
    <w:rsid w:val="00642B6F"/>
    <w:rsid w:val="00644843"/>
    <w:rsid w:val="00645D52"/>
    <w:rsid w:val="006464AE"/>
    <w:rsid w:val="006508FE"/>
    <w:rsid w:val="00650EA2"/>
    <w:rsid w:val="00651C83"/>
    <w:rsid w:val="00651CD6"/>
    <w:rsid w:val="00651F37"/>
    <w:rsid w:val="00653DC8"/>
    <w:rsid w:val="00654B2E"/>
    <w:rsid w:val="00654BD6"/>
    <w:rsid w:val="00655A29"/>
    <w:rsid w:val="006560B5"/>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1A8"/>
    <w:rsid w:val="00710DD2"/>
    <w:rsid w:val="00713BC6"/>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6952"/>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C76F7"/>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2F"/>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253C"/>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005"/>
    <w:rsid w:val="00995263"/>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7B9"/>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2952"/>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3E5A"/>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0754"/>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0D7"/>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00"/>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5FA7"/>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5F01DF"/>
    <w:pPr>
      <w:tabs>
        <w:tab w:val="center" w:pos="4513"/>
        <w:tab w:val="right" w:pos="9026"/>
      </w:tabs>
    </w:pPr>
  </w:style>
  <w:style w:type="character" w:customStyle="1" w:styleId="FooterChar">
    <w:name w:val="Footer Char"/>
    <w:link w:val="Footer"/>
    <w:rsid w:val="005F01DF"/>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7295-7A49-40F6-A4CE-F00669F5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2018-05-09T12:35:00Z</cp:lastPrinted>
  <dcterms:created xsi:type="dcterms:W3CDTF">2018-05-23T09:38:00Z</dcterms:created>
  <dcterms:modified xsi:type="dcterms:W3CDTF">2018-05-23T09:38:00Z</dcterms:modified>
</cp:coreProperties>
</file>