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B65B9B">
        <w:rPr>
          <w:b/>
          <w:bCs/>
          <w:sz w:val="24"/>
          <w:u w:val="single"/>
        </w:rPr>
        <w:t>2</w:t>
      </w:r>
      <w:r w:rsidR="00A371D9">
        <w:rPr>
          <w:b/>
          <w:bCs/>
          <w:sz w:val="24"/>
          <w:u w:val="single"/>
        </w:rPr>
        <w:t>75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55D90">
        <w:rPr>
          <w:b/>
          <w:bCs/>
          <w:sz w:val="24"/>
          <w:u w:val="single"/>
        </w:rPr>
        <w:t>14</w:t>
      </w:r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D55D90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A371D9" w:rsidRPr="00A371D9" w:rsidRDefault="00A371D9" w:rsidP="00A371D9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A371D9">
        <w:rPr>
          <w:b/>
          <w:sz w:val="24"/>
          <w:u w:val="single"/>
        </w:rPr>
        <w:t xml:space="preserve">Ms H Ismail (DA) to ask </w:t>
      </w:r>
      <w:r w:rsidRPr="00A371D9">
        <w:rPr>
          <w:rFonts w:eastAsia="Calibri"/>
          <w:b/>
          <w:sz w:val="24"/>
          <w:u w:val="single"/>
        </w:rPr>
        <w:t>the</w:t>
      </w:r>
      <w:r w:rsidRPr="00A371D9">
        <w:rPr>
          <w:b/>
          <w:sz w:val="24"/>
          <w:u w:val="single"/>
        </w:rPr>
        <w:t xml:space="preserve"> Minister of Health</w:t>
      </w:r>
      <w:r w:rsidR="0035238D" w:rsidRPr="00A371D9">
        <w:rPr>
          <w:b/>
          <w:sz w:val="24"/>
          <w:u w:val="single"/>
        </w:rPr>
        <w:fldChar w:fldCharType="begin"/>
      </w:r>
      <w:r w:rsidRPr="00A371D9">
        <w:rPr>
          <w:u w:val="single"/>
        </w:rPr>
        <w:instrText xml:space="preserve"> XE "</w:instrText>
      </w:r>
      <w:r w:rsidRPr="00A371D9">
        <w:rPr>
          <w:b/>
          <w:sz w:val="24"/>
          <w:u w:val="single"/>
        </w:rPr>
        <w:instrText>Health</w:instrText>
      </w:r>
      <w:r w:rsidRPr="00A371D9">
        <w:rPr>
          <w:u w:val="single"/>
        </w:rPr>
        <w:instrText xml:space="preserve">" </w:instrText>
      </w:r>
      <w:r w:rsidR="0035238D" w:rsidRPr="00A371D9">
        <w:rPr>
          <w:b/>
          <w:sz w:val="24"/>
          <w:u w:val="single"/>
        </w:rPr>
        <w:fldChar w:fldCharType="end"/>
      </w:r>
      <w:r w:rsidRPr="00A371D9">
        <w:rPr>
          <w:b/>
          <w:sz w:val="24"/>
          <w:u w:val="single"/>
        </w:rPr>
        <w:t>:</w:t>
      </w:r>
    </w:p>
    <w:p w:rsidR="004434B5" w:rsidRPr="00A371D9" w:rsidRDefault="00A371D9" w:rsidP="00A371D9">
      <w:pPr>
        <w:spacing w:before="100" w:beforeAutospacing="1" w:after="100" w:afterAutospacing="1"/>
        <w:jc w:val="both"/>
        <w:rPr>
          <w:sz w:val="24"/>
        </w:rPr>
      </w:pPr>
      <w:r w:rsidRPr="00A371D9">
        <w:rPr>
          <w:sz w:val="24"/>
        </w:rPr>
        <w:t xml:space="preserve">(a) Whether he will furnish Ms H Ismail with a full report on the </w:t>
      </w:r>
      <w:proofErr w:type="spellStart"/>
      <w:r w:rsidRPr="00A371D9">
        <w:rPr>
          <w:sz w:val="24"/>
        </w:rPr>
        <w:t>Ivermectin</w:t>
      </w:r>
      <w:proofErr w:type="spellEnd"/>
      <w:r w:rsidRPr="00A371D9">
        <w:rPr>
          <w:sz w:val="24"/>
        </w:rPr>
        <w:t xml:space="preserve"> controlled-access programme and (b) how long is it envisaged that the review programme for the applications of patients will take before </w:t>
      </w:r>
      <w:proofErr w:type="spellStart"/>
      <w:r w:rsidRPr="00A371D9">
        <w:rPr>
          <w:sz w:val="24"/>
        </w:rPr>
        <w:t>Ivermectin</w:t>
      </w:r>
      <w:proofErr w:type="spellEnd"/>
      <w:r w:rsidRPr="00A371D9">
        <w:rPr>
          <w:sz w:val="24"/>
        </w:rPr>
        <w:t xml:space="preserve"> will be allowed to be used?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D55D90">
        <w:rPr>
          <w:color w:val="000000"/>
        </w:rPr>
        <w:t>4</w:t>
      </w:r>
      <w:r w:rsidR="00A371D9">
        <w:rPr>
          <w:color w:val="000000"/>
        </w:rPr>
        <w:t>68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tbl>
      <w:tblPr>
        <w:tblW w:w="8851" w:type="dxa"/>
        <w:tblLook w:val="04A0"/>
      </w:tblPr>
      <w:tblGrid>
        <w:gridCol w:w="4143"/>
        <w:gridCol w:w="1337"/>
        <w:gridCol w:w="1217"/>
        <w:gridCol w:w="1163"/>
        <w:gridCol w:w="1297"/>
        <w:gridCol w:w="700"/>
      </w:tblGrid>
      <w:tr w:rsidR="00153B0B" w:rsidRPr="00153B0B" w:rsidTr="00AF74BF">
        <w:trPr>
          <w:trHeight w:val="102"/>
        </w:trPr>
        <w:tc>
          <w:tcPr>
            <w:tcW w:w="8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153B0B">
            <w:pPr>
              <w:pStyle w:val="ListParagraph"/>
              <w:numPr>
                <w:ilvl w:val="0"/>
                <w:numId w:val="4"/>
              </w:numPr>
              <w:ind w:hanging="720"/>
              <w:rPr>
                <w:sz w:val="24"/>
                <w:lang w:val="en-ZA" w:eastAsia="en-ZA"/>
              </w:rPr>
            </w:pPr>
            <w:proofErr w:type="spellStart"/>
            <w:r w:rsidRPr="00153B0B">
              <w:rPr>
                <w:color w:val="000000"/>
                <w:sz w:val="24"/>
                <w:lang w:val="en-ZA" w:eastAsia="en-ZA"/>
              </w:rPr>
              <w:t>Ivermectin</w:t>
            </w:r>
            <w:proofErr w:type="spellEnd"/>
            <w:r w:rsidRPr="00153B0B">
              <w:rPr>
                <w:color w:val="000000"/>
                <w:sz w:val="24"/>
                <w:lang w:val="en-ZA" w:eastAsia="en-ZA"/>
              </w:rPr>
              <w:t xml:space="preserve"> Authorisation Status 25/05/2021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sz w:val="24"/>
                <w:lang w:val="en-ZA" w:eastAsia="en-ZA"/>
              </w:rPr>
            </w:pPr>
          </w:p>
        </w:tc>
      </w:tr>
      <w:tr w:rsidR="00153B0B" w:rsidRPr="00153B0B" w:rsidTr="00AF74BF">
        <w:trPr>
          <w:trHeight w:val="102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color w:val="000000"/>
                <w:sz w:val="24"/>
                <w:lang w:val="en-ZA"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color w:val="000000"/>
                <w:sz w:val="24"/>
                <w:lang w:val="en-ZA" w:eastAsia="en-Z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sz w:val="24"/>
                <w:lang w:val="en-ZA" w:eastAsia="en-Z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sz w:val="24"/>
                <w:lang w:val="en-ZA" w:eastAsia="en-Z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sz w:val="24"/>
                <w:lang w:val="en-ZA" w:eastAsia="en-Z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sz w:val="24"/>
                <w:lang w:val="en-ZA" w:eastAsia="en-ZA"/>
              </w:rPr>
            </w:pPr>
          </w:p>
        </w:tc>
      </w:tr>
      <w:tr w:rsidR="00153B0B" w:rsidRPr="00153B0B" w:rsidTr="00AF74BF">
        <w:trPr>
          <w:trHeight w:val="30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0B" w:rsidRPr="00153B0B" w:rsidRDefault="00153B0B" w:rsidP="00AF74BF">
            <w:pPr>
              <w:rPr>
                <w:sz w:val="24"/>
                <w:lang w:val="en-ZA" w:eastAsia="en-Z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0B" w:rsidRPr="00153B0B" w:rsidRDefault="00153B0B" w:rsidP="00AF74BF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153B0B">
              <w:rPr>
                <w:b/>
                <w:bCs/>
                <w:color w:val="000000"/>
                <w:sz w:val="24"/>
                <w:lang w:val="en-ZA" w:eastAsia="en-ZA"/>
              </w:rPr>
              <w:t>Approved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0B" w:rsidRPr="00153B0B" w:rsidRDefault="00153B0B" w:rsidP="00AF74BF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153B0B">
              <w:rPr>
                <w:b/>
                <w:bCs/>
                <w:color w:val="000000"/>
                <w:sz w:val="24"/>
                <w:lang w:val="en-ZA" w:eastAsia="en-ZA"/>
              </w:rPr>
              <w:t>Rejected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0B" w:rsidRPr="00153B0B" w:rsidRDefault="00153B0B" w:rsidP="00AF74BF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153B0B">
              <w:rPr>
                <w:b/>
                <w:bCs/>
                <w:color w:val="000000"/>
                <w:sz w:val="24"/>
                <w:lang w:val="en-ZA" w:eastAsia="en-ZA"/>
              </w:rPr>
              <w:t>Pending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0B" w:rsidRPr="00153B0B" w:rsidRDefault="00153B0B" w:rsidP="00AF74BF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153B0B">
              <w:rPr>
                <w:b/>
                <w:bCs/>
                <w:color w:val="000000"/>
                <w:sz w:val="24"/>
                <w:lang w:val="en-ZA" w:eastAsia="en-ZA"/>
              </w:rPr>
              <w:t>Duplicate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0B" w:rsidRPr="00153B0B" w:rsidRDefault="00153B0B" w:rsidP="00AF74BF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</w:p>
        </w:tc>
      </w:tr>
      <w:tr w:rsidR="00153B0B" w:rsidRPr="00153B0B" w:rsidTr="00AF74BF">
        <w:trPr>
          <w:trHeight w:val="102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153B0B">
              <w:rPr>
                <w:b/>
                <w:bCs/>
                <w:color w:val="000000"/>
                <w:sz w:val="24"/>
                <w:lang w:val="en-ZA" w:eastAsia="en-ZA"/>
              </w:rPr>
              <w:t>Tier 3: Section 22C(1)(b) - licence holder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</w:p>
        </w:tc>
      </w:tr>
      <w:tr w:rsidR="00153B0B" w:rsidRPr="00153B0B" w:rsidTr="00AF74BF">
        <w:trPr>
          <w:trHeight w:val="102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153B0B">
              <w:rPr>
                <w:b/>
                <w:bCs/>
                <w:color w:val="000000"/>
                <w:sz w:val="24"/>
                <w:lang w:val="en-ZA" w:eastAsia="en-ZA"/>
              </w:rPr>
              <w:t>Tier 2: Healthcare Facility Stock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134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sz w:val="24"/>
                <w:lang w:val="en-ZA" w:eastAsia="en-ZA"/>
              </w:rPr>
            </w:pPr>
            <w:r w:rsidRPr="00153B0B">
              <w:rPr>
                <w:sz w:val="24"/>
                <w:lang w:val="en-ZA" w:eastAsia="en-ZA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</w:p>
        </w:tc>
      </w:tr>
      <w:tr w:rsidR="00153B0B" w:rsidRPr="00153B0B" w:rsidTr="00AF74BF">
        <w:trPr>
          <w:trHeight w:val="102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153B0B">
              <w:rPr>
                <w:b/>
                <w:bCs/>
                <w:color w:val="000000"/>
                <w:sz w:val="24"/>
                <w:lang w:val="en-ZA" w:eastAsia="en-ZA"/>
              </w:rPr>
              <w:t>Tier 1: Named-patient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</w:p>
        </w:tc>
      </w:tr>
      <w:tr w:rsidR="00153B0B" w:rsidRPr="00153B0B" w:rsidTr="00AF74BF">
        <w:trPr>
          <w:trHeight w:val="102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153B0B">
              <w:rPr>
                <w:b/>
                <w:bCs/>
                <w:color w:val="000000"/>
                <w:sz w:val="24"/>
                <w:lang w:val="en-ZA" w:eastAsia="en-ZA"/>
              </w:rPr>
              <w:t>TOTAL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254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53B0B">
              <w:rPr>
                <w:color w:val="000000"/>
                <w:sz w:val="24"/>
                <w:lang w:val="en-ZA" w:eastAsia="en-Z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0B" w:rsidRPr="00153B0B" w:rsidRDefault="00153B0B" w:rsidP="00AF74BF">
            <w:pPr>
              <w:jc w:val="right"/>
              <w:rPr>
                <w:b/>
                <w:bCs/>
                <w:color w:val="000000"/>
                <w:sz w:val="24"/>
                <w:lang w:val="en-ZA" w:eastAsia="en-ZA"/>
              </w:rPr>
            </w:pPr>
            <w:r w:rsidRPr="00153B0B">
              <w:rPr>
                <w:b/>
                <w:bCs/>
                <w:color w:val="000000"/>
                <w:sz w:val="24"/>
                <w:lang w:val="en-ZA" w:eastAsia="en-ZA"/>
              </w:rPr>
              <w:t>318</w:t>
            </w:r>
          </w:p>
        </w:tc>
      </w:tr>
    </w:tbl>
    <w:p w:rsidR="00153B0B" w:rsidRPr="00153B0B" w:rsidRDefault="00153B0B" w:rsidP="00FF3095">
      <w:pPr>
        <w:pStyle w:val="BodyText"/>
        <w:ind w:left="709" w:hanging="709"/>
        <w:rPr>
          <w:sz w:val="24"/>
          <w:lang w:val="en-GB"/>
        </w:rPr>
      </w:pPr>
    </w:p>
    <w:p w:rsidR="00153B0B" w:rsidRPr="00153B0B" w:rsidRDefault="00153B0B" w:rsidP="00153B0B">
      <w:pPr>
        <w:pStyle w:val="BodyText"/>
        <w:numPr>
          <w:ilvl w:val="0"/>
          <w:numId w:val="4"/>
        </w:numPr>
        <w:ind w:hanging="720"/>
        <w:rPr>
          <w:sz w:val="24"/>
          <w:lang w:val="en-GB"/>
        </w:rPr>
      </w:pPr>
      <w:r w:rsidRPr="00153B0B">
        <w:rPr>
          <w:sz w:val="24"/>
        </w:rPr>
        <w:t>The</w:t>
      </w:r>
      <w:r>
        <w:rPr>
          <w:sz w:val="24"/>
        </w:rPr>
        <w:t xml:space="preserve"> use of </w:t>
      </w:r>
      <w:proofErr w:type="spellStart"/>
      <w:r>
        <w:rPr>
          <w:sz w:val="24"/>
        </w:rPr>
        <w:t>I</w:t>
      </w:r>
      <w:r w:rsidRPr="00153B0B">
        <w:rPr>
          <w:sz w:val="24"/>
        </w:rPr>
        <w:t>vermectin</w:t>
      </w:r>
      <w:proofErr w:type="spellEnd"/>
      <w:r w:rsidRPr="00153B0B">
        <w:rPr>
          <w:sz w:val="24"/>
        </w:rPr>
        <w:t xml:space="preserve"> in the treatment and prevention of COVID-19 infections received avid interest recently due to the antiviral and anti-inflammatory properties in vitro. Available data to date, mostly from small under-powered studies, show a trend towards some benefit in the management of COVID-19. National and international bodies have reviewed the data; and have concluded that there is unclear evidence of both benefit and harm, in the treatment and prevention of COVID-19. After consideration of the impact of the second wave as well as the clinical equipoise that was presented through the various studies reviewed, SAHPRA implemented an </w:t>
      </w:r>
      <w:proofErr w:type="spellStart"/>
      <w:r w:rsidRPr="00153B0B">
        <w:rPr>
          <w:sz w:val="24"/>
        </w:rPr>
        <w:t>Ivermectin</w:t>
      </w:r>
      <w:proofErr w:type="spellEnd"/>
      <w:r w:rsidRPr="00153B0B">
        <w:rPr>
          <w:sz w:val="24"/>
        </w:rPr>
        <w:t xml:space="preserve"> Controlled Compassionate Use </w:t>
      </w:r>
      <w:proofErr w:type="spellStart"/>
      <w:r w:rsidRPr="00153B0B">
        <w:rPr>
          <w:sz w:val="24"/>
        </w:rPr>
        <w:t>Programme</w:t>
      </w:r>
      <w:proofErr w:type="spellEnd"/>
      <w:r w:rsidRPr="00153B0B">
        <w:rPr>
          <w:sz w:val="24"/>
        </w:rPr>
        <w:t xml:space="preserve"> for approved unregistered </w:t>
      </w:r>
      <w:proofErr w:type="spellStart"/>
      <w:r w:rsidRPr="00153B0B">
        <w:rPr>
          <w:sz w:val="24"/>
        </w:rPr>
        <w:t>ivermectin</w:t>
      </w:r>
      <w:proofErr w:type="spellEnd"/>
      <w:r w:rsidRPr="00153B0B">
        <w:rPr>
          <w:sz w:val="24"/>
        </w:rPr>
        <w:t xml:space="preserve"> products to be accessed via a three-tier </w:t>
      </w:r>
      <w:proofErr w:type="spellStart"/>
      <w:r w:rsidRPr="00153B0B">
        <w:rPr>
          <w:sz w:val="24"/>
        </w:rPr>
        <w:t>programme</w:t>
      </w:r>
      <w:proofErr w:type="spellEnd"/>
      <w:r w:rsidRPr="00153B0B">
        <w:rPr>
          <w:sz w:val="24"/>
        </w:rPr>
        <w:t xml:space="preserve"> for Section </w:t>
      </w:r>
      <w:proofErr w:type="gramStart"/>
      <w:r w:rsidRPr="00153B0B">
        <w:rPr>
          <w:sz w:val="24"/>
        </w:rPr>
        <w:t>22C(</w:t>
      </w:r>
      <w:proofErr w:type="gramEnd"/>
      <w:r w:rsidRPr="00153B0B">
        <w:rPr>
          <w:sz w:val="24"/>
        </w:rPr>
        <w:t>1)(b) permit holders, healthcare facilities, and named-patient applications. On 16 March 2021</w:t>
      </w:r>
      <w:proofErr w:type="gramStart"/>
      <w:r w:rsidRPr="00153B0B">
        <w:rPr>
          <w:sz w:val="24"/>
        </w:rPr>
        <w:t>,SAHPRA</w:t>
      </w:r>
      <w:proofErr w:type="gramEnd"/>
      <w:r w:rsidRPr="00153B0B">
        <w:rPr>
          <w:sz w:val="24"/>
        </w:rPr>
        <w:t xml:space="preserve"> registered </w:t>
      </w:r>
      <w:proofErr w:type="spellStart"/>
      <w:r w:rsidRPr="00153B0B">
        <w:rPr>
          <w:sz w:val="24"/>
        </w:rPr>
        <w:t>Soolantra</w:t>
      </w:r>
      <w:proofErr w:type="spellEnd"/>
      <w:r w:rsidRPr="00153B0B">
        <w:rPr>
          <w:sz w:val="24"/>
        </w:rPr>
        <w:t xml:space="preserve"> 10mg/g cream formulation, which contains </w:t>
      </w:r>
      <w:proofErr w:type="spellStart"/>
      <w:r w:rsidRPr="00153B0B">
        <w:rPr>
          <w:sz w:val="24"/>
        </w:rPr>
        <w:t>ivermectin</w:t>
      </w:r>
      <w:proofErr w:type="spellEnd"/>
      <w:r w:rsidRPr="00153B0B">
        <w:rPr>
          <w:sz w:val="24"/>
        </w:rPr>
        <w:t>. </w:t>
      </w:r>
      <w:proofErr w:type="spellStart"/>
      <w:r w:rsidRPr="00153B0B">
        <w:rPr>
          <w:sz w:val="24"/>
        </w:rPr>
        <w:t>Soolantra</w:t>
      </w:r>
      <w:proofErr w:type="spellEnd"/>
      <w:r w:rsidRPr="00153B0B">
        <w:rPr>
          <w:sz w:val="24"/>
        </w:rPr>
        <w:t xml:space="preserve"> Cream is indicated for the topical treatment of moderate to severe inflammatory lesions of </w:t>
      </w:r>
      <w:proofErr w:type="spellStart"/>
      <w:r w:rsidRPr="00153B0B">
        <w:rPr>
          <w:sz w:val="24"/>
        </w:rPr>
        <w:t>papulopustular</w:t>
      </w:r>
      <w:proofErr w:type="spellEnd"/>
      <w:r w:rsidRPr="00153B0B">
        <w:rPr>
          <w:sz w:val="24"/>
        </w:rPr>
        <w:t xml:space="preserve"> </w:t>
      </w:r>
      <w:proofErr w:type="spellStart"/>
      <w:r w:rsidRPr="00153B0B">
        <w:rPr>
          <w:sz w:val="24"/>
        </w:rPr>
        <w:t>rosacea</w:t>
      </w:r>
      <w:proofErr w:type="spellEnd"/>
      <w:r w:rsidRPr="00153B0B">
        <w:rPr>
          <w:sz w:val="24"/>
        </w:rPr>
        <w:t xml:space="preserve"> in adult patients and is not for the prevention or treatment of COVID-19. The registration of this product enabled the compounding of </w:t>
      </w:r>
      <w:proofErr w:type="spellStart"/>
      <w:r w:rsidRPr="00153B0B">
        <w:rPr>
          <w:sz w:val="24"/>
        </w:rPr>
        <w:t>ivermectin</w:t>
      </w:r>
      <w:proofErr w:type="spellEnd"/>
      <w:r w:rsidRPr="00153B0B">
        <w:rPr>
          <w:sz w:val="24"/>
        </w:rPr>
        <w:t xml:space="preserve"> on a prescription basis for specific patients as well as off label use of </w:t>
      </w:r>
      <w:proofErr w:type="spellStart"/>
      <w:r w:rsidRPr="00153B0B">
        <w:rPr>
          <w:sz w:val="24"/>
        </w:rPr>
        <w:t>ivermectin</w:t>
      </w:r>
      <w:proofErr w:type="spellEnd"/>
      <w:r w:rsidRPr="00153B0B">
        <w:rPr>
          <w:sz w:val="24"/>
        </w:rPr>
        <w:t xml:space="preserve"> under the section 21 Controlled Compassionate Use </w:t>
      </w:r>
      <w:proofErr w:type="spellStart"/>
      <w:r w:rsidRPr="00153B0B">
        <w:rPr>
          <w:sz w:val="24"/>
        </w:rPr>
        <w:t>Programme</w:t>
      </w:r>
      <w:proofErr w:type="spellEnd"/>
      <w:r w:rsidRPr="00153B0B">
        <w:rPr>
          <w:sz w:val="24"/>
        </w:rPr>
        <w:t>.</w:t>
      </w:r>
    </w:p>
    <w:p w:rsidR="00153B0B" w:rsidRDefault="00153B0B" w:rsidP="00FF3095">
      <w:pPr>
        <w:pStyle w:val="BodyText"/>
        <w:ind w:left="709" w:hanging="709"/>
        <w:rPr>
          <w:sz w:val="24"/>
          <w:lang w:val="en-GB"/>
        </w:rPr>
      </w:pP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C7" w:rsidRDefault="00E94DC7">
      <w:r>
        <w:separator/>
      </w:r>
    </w:p>
  </w:endnote>
  <w:endnote w:type="continuationSeparator" w:id="0">
    <w:p w:rsidR="00E94DC7" w:rsidRDefault="00E9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52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352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53B0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C7" w:rsidRDefault="00E94DC7">
      <w:r>
        <w:separator/>
      </w:r>
    </w:p>
  </w:footnote>
  <w:footnote w:type="continuationSeparator" w:id="0">
    <w:p w:rsidR="00E94DC7" w:rsidRDefault="00E9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521FC"/>
    <w:multiLevelType w:val="hybridMultilevel"/>
    <w:tmpl w:val="78141A9E"/>
    <w:lvl w:ilvl="0" w:tplc="C6645ED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791D"/>
    <w:multiLevelType w:val="hybridMultilevel"/>
    <w:tmpl w:val="7B7A620A"/>
    <w:lvl w:ilvl="0" w:tplc="68CA94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D429A"/>
    <w:rsid w:val="000E705F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44DB"/>
    <w:rsid w:val="00125A56"/>
    <w:rsid w:val="001338AB"/>
    <w:rsid w:val="00134634"/>
    <w:rsid w:val="00136BF0"/>
    <w:rsid w:val="00145C76"/>
    <w:rsid w:val="00150F90"/>
    <w:rsid w:val="00153B0B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598C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1471"/>
    <w:rsid w:val="002242A9"/>
    <w:rsid w:val="00233C3B"/>
    <w:rsid w:val="0024216E"/>
    <w:rsid w:val="002519F4"/>
    <w:rsid w:val="00257F2C"/>
    <w:rsid w:val="0026258B"/>
    <w:rsid w:val="0026455A"/>
    <w:rsid w:val="0026455E"/>
    <w:rsid w:val="0026722A"/>
    <w:rsid w:val="00267FDF"/>
    <w:rsid w:val="00271665"/>
    <w:rsid w:val="002832F3"/>
    <w:rsid w:val="00284291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455D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32F12"/>
    <w:rsid w:val="0034705D"/>
    <w:rsid w:val="0035238D"/>
    <w:rsid w:val="003548B4"/>
    <w:rsid w:val="00355BB7"/>
    <w:rsid w:val="00357A10"/>
    <w:rsid w:val="00360D5F"/>
    <w:rsid w:val="00364BFB"/>
    <w:rsid w:val="00366B08"/>
    <w:rsid w:val="00366E06"/>
    <w:rsid w:val="0036751E"/>
    <w:rsid w:val="00371538"/>
    <w:rsid w:val="003715DB"/>
    <w:rsid w:val="00382D92"/>
    <w:rsid w:val="0039184B"/>
    <w:rsid w:val="0039793D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21299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0166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157AF"/>
    <w:rsid w:val="00525127"/>
    <w:rsid w:val="0052723E"/>
    <w:rsid w:val="0053174B"/>
    <w:rsid w:val="0053270A"/>
    <w:rsid w:val="0053416A"/>
    <w:rsid w:val="00535A7C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BD8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58B9"/>
    <w:rsid w:val="007260C3"/>
    <w:rsid w:val="007277C0"/>
    <w:rsid w:val="0073094D"/>
    <w:rsid w:val="00732E16"/>
    <w:rsid w:val="00735915"/>
    <w:rsid w:val="00740BE5"/>
    <w:rsid w:val="00761191"/>
    <w:rsid w:val="00761C6E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676"/>
    <w:rsid w:val="0081272C"/>
    <w:rsid w:val="00815128"/>
    <w:rsid w:val="00815BE6"/>
    <w:rsid w:val="00816881"/>
    <w:rsid w:val="00823CF4"/>
    <w:rsid w:val="00827A03"/>
    <w:rsid w:val="00834371"/>
    <w:rsid w:val="00835648"/>
    <w:rsid w:val="0084076E"/>
    <w:rsid w:val="00846CD4"/>
    <w:rsid w:val="00852234"/>
    <w:rsid w:val="00852DFB"/>
    <w:rsid w:val="008603CC"/>
    <w:rsid w:val="00860B56"/>
    <w:rsid w:val="00861E3A"/>
    <w:rsid w:val="0086637B"/>
    <w:rsid w:val="00876166"/>
    <w:rsid w:val="0087704D"/>
    <w:rsid w:val="0087729E"/>
    <w:rsid w:val="0088622D"/>
    <w:rsid w:val="008909CC"/>
    <w:rsid w:val="00891B7A"/>
    <w:rsid w:val="00893EA4"/>
    <w:rsid w:val="0089783C"/>
    <w:rsid w:val="008A051E"/>
    <w:rsid w:val="008A0FAB"/>
    <w:rsid w:val="008A2BAB"/>
    <w:rsid w:val="008A34C5"/>
    <w:rsid w:val="008A5661"/>
    <w:rsid w:val="008A757D"/>
    <w:rsid w:val="008B0003"/>
    <w:rsid w:val="008B3A95"/>
    <w:rsid w:val="008B7C94"/>
    <w:rsid w:val="008C0456"/>
    <w:rsid w:val="008C0742"/>
    <w:rsid w:val="008C18CB"/>
    <w:rsid w:val="008C3326"/>
    <w:rsid w:val="008C3371"/>
    <w:rsid w:val="008C7D38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1D75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1B93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1FEE"/>
    <w:rsid w:val="00A24207"/>
    <w:rsid w:val="00A24CAA"/>
    <w:rsid w:val="00A251E7"/>
    <w:rsid w:val="00A346DA"/>
    <w:rsid w:val="00A368DE"/>
    <w:rsid w:val="00A371D9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66156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AF03C4"/>
    <w:rsid w:val="00AF112F"/>
    <w:rsid w:val="00B0762E"/>
    <w:rsid w:val="00B2106D"/>
    <w:rsid w:val="00B2423A"/>
    <w:rsid w:val="00B25456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5B9B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6829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67AD5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0593"/>
    <w:rsid w:val="00CC285B"/>
    <w:rsid w:val="00CE0161"/>
    <w:rsid w:val="00CF0AD4"/>
    <w:rsid w:val="00CF1D50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55D90"/>
    <w:rsid w:val="00D57D64"/>
    <w:rsid w:val="00D6164E"/>
    <w:rsid w:val="00D6575F"/>
    <w:rsid w:val="00D66663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816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94DC7"/>
    <w:rsid w:val="00EA464E"/>
    <w:rsid w:val="00EB211A"/>
    <w:rsid w:val="00EB241F"/>
    <w:rsid w:val="00EC3927"/>
    <w:rsid w:val="00EC54B2"/>
    <w:rsid w:val="00ED3353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1D1F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29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E66F4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character" w:customStyle="1" w:styleId="bumpedfont15">
    <w:name w:val="bumpedfont15"/>
    <w:basedOn w:val="DefaultParagraphFont"/>
    <w:rsid w:val="00153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2021-06-08T13:20:00Z</dcterms:created>
  <dcterms:modified xsi:type="dcterms:W3CDTF">2021-06-08T13:20:00Z</dcterms:modified>
</cp:coreProperties>
</file>