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605304"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5B14CF">
        <w:rPr>
          <w:rFonts w:eastAsia="Times New Roman"/>
          <w:b/>
          <w:lang w:val="en-GB" w:eastAsia="en-US"/>
        </w:rPr>
        <w:t>2</w:t>
      </w:r>
      <w:r w:rsidR="005B27E5">
        <w:rPr>
          <w:rFonts w:eastAsia="Times New Roman"/>
          <w:b/>
          <w:lang w:val="en-GB" w:eastAsia="en-US"/>
        </w:rPr>
        <w:t>7</w:t>
      </w:r>
      <w:r w:rsidR="00217DD5">
        <w:rPr>
          <w:rFonts w:eastAsia="Times New Roman"/>
          <w:b/>
          <w:lang w:val="en-GB" w:eastAsia="en-US"/>
        </w:rPr>
        <w:t>4</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B14CF">
        <w:rPr>
          <w:rFonts w:eastAsia="Times New Roman"/>
          <w:b/>
          <w:lang w:val="en-GB" w:eastAsia="en-US"/>
        </w:rPr>
        <w:t>1</w:t>
      </w:r>
      <w:r w:rsidR="005B27E5">
        <w:rPr>
          <w:rFonts w:eastAsia="Times New Roman"/>
          <w:b/>
          <w:lang w:val="en-GB" w:eastAsia="en-US"/>
        </w:rPr>
        <w:t>9</w:t>
      </w:r>
      <w:r w:rsidR="005B14CF">
        <w:rPr>
          <w:rFonts w:eastAsia="Times New Roman"/>
          <w:b/>
          <w:lang w:val="en-GB" w:eastAsia="en-US"/>
        </w:rPr>
        <w:t xml:space="preserve"> JUNE </w:t>
      </w:r>
      <w:r w:rsidRPr="00521B42">
        <w:rPr>
          <w:rFonts w:eastAsia="Times New Roman"/>
          <w:b/>
          <w:lang w:val="en-GB" w:eastAsia="en-US"/>
        </w:rPr>
        <w:t>2020</w:t>
      </w:r>
    </w:p>
    <w:p w:rsidR="00217DD5" w:rsidRPr="00D718F3" w:rsidRDefault="00217DD5" w:rsidP="00217DD5">
      <w:pPr>
        <w:spacing w:before="100" w:beforeAutospacing="1" w:after="100" w:afterAutospacing="1"/>
        <w:ind w:left="720" w:hanging="720"/>
        <w:jc w:val="both"/>
      </w:pPr>
      <w:r w:rsidRPr="00D718F3">
        <w:rPr>
          <w:b/>
          <w:bCs/>
        </w:rPr>
        <w:t xml:space="preserve">Mr W Horn (DA) to ask the Minister of </w:t>
      </w:r>
      <w:r>
        <w:rPr>
          <w:b/>
          <w:bCs/>
        </w:rPr>
        <w:t>Human Settlements, Water</w:t>
      </w:r>
      <w:r w:rsidRPr="00D718F3">
        <w:rPr>
          <w:b/>
          <w:bCs/>
        </w:rPr>
        <w:t xml:space="preserve"> and </w:t>
      </w:r>
      <w:r>
        <w:rPr>
          <w:b/>
          <w:bCs/>
        </w:rPr>
        <w:t>Sanitation</w:t>
      </w:r>
      <w:r>
        <w:rPr>
          <w:b/>
          <w:bCs/>
        </w:rPr>
        <w:fldChar w:fldCharType="begin"/>
      </w:r>
      <w:r>
        <w:instrText xml:space="preserve"> XE "</w:instrText>
      </w:r>
      <w:r w:rsidRPr="007173AA">
        <w:rPr>
          <w:b/>
        </w:rPr>
        <w:instrText>Human Settlements, Water and Sanitation</w:instrText>
      </w:r>
      <w:r>
        <w:instrText xml:space="preserve">" </w:instrText>
      </w:r>
      <w:r>
        <w:rPr>
          <w:b/>
          <w:bCs/>
        </w:rPr>
        <w:fldChar w:fldCharType="end"/>
      </w:r>
      <w:r w:rsidRPr="00D718F3">
        <w:rPr>
          <w:b/>
          <w:bCs/>
        </w:rPr>
        <w:t>:</w:t>
      </w:r>
      <w:r w:rsidRPr="00D718F3">
        <w:t xml:space="preserve"> </w:t>
      </w:r>
    </w:p>
    <w:p w:rsidR="00217DD5" w:rsidRPr="00D718F3" w:rsidRDefault="00217DD5" w:rsidP="00E61D6A">
      <w:pPr>
        <w:spacing w:before="100" w:beforeAutospacing="1" w:after="100" w:afterAutospacing="1" w:line="320" w:lineRule="atLeast"/>
        <w:jc w:val="both"/>
      </w:pPr>
      <w:r w:rsidRPr="00D718F3">
        <w:t xml:space="preserve">What was the </w:t>
      </w:r>
      <w:r>
        <w:t xml:space="preserve">total </w:t>
      </w:r>
      <w:r w:rsidRPr="00D718F3">
        <w:t>number of bucket toilets in use at households in each municipality in the Free State at the end of the 2016-17, 2017-18 and 2019-2020 financial years?</w:t>
      </w:r>
      <w:r>
        <w:t xml:space="preserve"> </w:t>
      </w:r>
      <w:r>
        <w:tab/>
      </w:r>
      <w:r>
        <w:tab/>
        <w:t xml:space="preserve">     </w:t>
      </w:r>
      <w:r w:rsidRPr="00D718F3">
        <w:rPr>
          <w:sz w:val="20"/>
          <w:szCs w:val="20"/>
        </w:rPr>
        <w:t>NW1642E</w:t>
      </w:r>
    </w:p>
    <w:p w:rsidR="00521B42" w:rsidRDefault="00521B42" w:rsidP="00E61D6A">
      <w:pPr>
        <w:tabs>
          <w:tab w:val="left" w:pos="3380"/>
        </w:tabs>
        <w:spacing w:line="320" w:lineRule="atLeast"/>
        <w:ind w:left="720" w:hanging="720"/>
        <w:jc w:val="both"/>
        <w:rPr>
          <w:rFonts w:eastAsia="Times New Roman"/>
          <w:b/>
          <w:lang w:val="en-GB" w:eastAsia="en-US"/>
        </w:rPr>
      </w:pPr>
      <w:r w:rsidRPr="00521B42">
        <w:rPr>
          <w:rFonts w:eastAsia="Times New Roman"/>
          <w:b/>
          <w:lang w:val="en-GB" w:eastAsia="en-US"/>
        </w:rPr>
        <w:t>REPLY:</w:t>
      </w:r>
    </w:p>
    <w:p w:rsidR="00E61D6A" w:rsidRDefault="00E61D6A" w:rsidP="00E61D6A">
      <w:pPr>
        <w:spacing w:line="320" w:lineRule="atLeast"/>
        <w:jc w:val="both"/>
      </w:pPr>
    </w:p>
    <w:p w:rsidR="00E61D6A" w:rsidRPr="00E61D6A" w:rsidRDefault="00E61D6A" w:rsidP="00E61D6A">
      <w:pPr>
        <w:spacing w:line="320" w:lineRule="atLeast"/>
        <w:jc w:val="both"/>
      </w:pPr>
      <w:r w:rsidRPr="00E61D6A">
        <w:t>The total number of bucket toilets in use in formal households in the Free State at the end of the 2016-17, 2017-18 and 2019-2020 financial years is indicated in the table below:</w:t>
      </w:r>
    </w:p>
    <w:tbl>
      <w:tblPr>
        <w:tblpPr w:leftFromText="180" w:rightFromText="180" w:vertAnchor="text" w:horzAnchor="margin" w:tblpX="250" w:tblpY="1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126"/>
        <w:gridCol w:w="2268"/>
        <w:gridCol w:w="2126"/>
      </w:tblGrid>
      <w:tr w:rsidR="00E61D6A" w:rsidRPr="00E61D6A" w:rsidTr="00B76C9C">
        <w:trPr>
          <w:trHeight w:val="221"/>
          <w:tblHeader/>
        </w:trPr>
        <w:tc>
          <w:tcPr>
            <w:tcW w:w="2802" w:type="dxa"/>
            <w:tcBorders>
              <w:bottom w:val="single" w:sz="4" w:space="0" w:color="auto"/>
            </w:tcBorders>
            <w:shd w:val="clear" w:color="auto" w:fill="A6A6A6"/>
          </w:tcPr>
          <w:p w:rsidR="00E61D6A" w:rsidRPr="00E61D6A" w:rsidRDefault="00E61D6A" w:rsidP="00E61D6A">
            <w:pPr>
              <w:spacing w:before="100" w:beforeAutospacing="1" w:after="100" w:afterAutospacing="1"/>
              <w:contextualSpacing/>
              <w:rPr>
                <w:b/>
                <w:color w:val="000000"/>
              </w:rPr>
            </w:pPr>
            <w:r w:rsidRPr="00E61D6A">
              <w:rPr>
                <w:b/>
                <w:color w:val="000000"/>
              </w:rPr>
              <w:t>Municipality</w:t>
            </w:r>
          </w:p>
        </w:tc>
        <w:tc>
          <w:tcPr>
            <w:tcW w:w="2126" w:type="dxa"/>
            <w:tcBorders>
              <w:bottom w:val="single" w:sz="4" w:space="0" w:color="auto"/>
            </w:tcBorders>
            <w:shd w:val="clear" w:color="auto" w:fill="A6A6A6"/>
          </w:tcPr>
          <w:p w:rsidR="00E61D6A" w:rsidRPr="00E61D6A" w:rsidRDefault="00E61D6A" w:rsidP="00B76C9C">
            <w:pPr>
              <w:spacing w:before="100" w:beforeAutospacing="1" w:after="100" w:afterAutospacing="1"/>
              <w:contextualSpacing/>
              <w:rPr>
                <w:b/>
                <w:color w:val="000000"/>
              </w:rPr>
            </w:pPr>
            <w:r w:rsidRPr="00E61D6A">
              <w:rPr>
                <w:b/>
                <w:color w:val="000000"/>
              </w:rPr>
              <w:t>2016/2017</w:t>
            </w:r>
          </w:p>
        </w:tc>
        <w:tc>
          <w:tcPr>
            <w:tcW w:w="2268" w:type="dxa"/>
            <w:tcBorders>
              <w:bottom w:val="single" w:sz="4" w:space="0" w:color="auto"/>
            </w:tcBorders>
            <w:shd w:val="clear" w:color="auto" w:fill="A6A6A6"/>
          </w:tcPr>
          <w:p w:rsidR="00E61D6A" w:rsidRPr="00E61D6A" w:rsidRDefault="00E61D6A" w:rsidP="00B76C9C">
            <w:pPr>
              <w:spacing w:before="100" w:beforeAutospacing="1" w:after="100" w:afterAutospacing="1"/>
              <w:contextualSpacing/>
              <w:rPr>
                <w:b/>
                <w:color w:val="000000"/>
              </w:rPr>
            </w:pPr>
            <w:r w:rsidRPr="00E61D6A">
              <w:rPr>
                <w:b/>
                <w:color w:val="000000"/>
              </w:rPr>
              <w:t>2017/2018</w:t>
            </w:r>
          </w:p>
        </w:tc>
        <w:tc>
          <w:tcPr>
            <w:tcW w:w="2126" w:type="dxa"/>
            <w:tcBorders>
              <w:bottom w:val="single" w:sz="4" w:space="0" w:color="auto"/>
            </w:tcBorders>
            <w:shd w:val="clear" w:color="auto" w:fill="A6A6A6"/>
          </w:tcPr>
          <w:p w:rsidR="00E61D6A" w:rsidRPr="00E61D6A" w:rsidRDefault="00E61D6A" w:rsidP="00B76C9C">
            <w:pPr>
              <w:spacing w:before="100" w:beforeAutospacing="1" w:after="100" w:afterAutospacing="1"/>
              <w:contextualSpacing/>
              <w:rPr>
                <w:b/>
                <w:color w:val="000000"/>
              </w:rPr>
            </w:pPr>
            <w:r w:rsidRPr="00E61D6A">
              <w:rPr>
                <w:b/>
                <w:color w:val="000000"/>
              </w:rPr>
              <w:t>2019/2020</w:t>
            </w:r>
          </w:p>
        </w:tc>
      </w:tr>
      <w:tr w:rsidR="00E61D6A" w:rsidRPr="00E61D6A" w:rsidTr="00B76C9C">
        <w:trPr>
          <w:trHeight w:val="495"/>
        </w:trPr>
        <w:tc>
          <w:tcPr>
            <w:tcW w:w="2802" w:type="dxa"/>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Matjhabeng</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1623</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654</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r>
      <w:tr w:rsidR="00E61D6A" w:rsidRPr="00E61D6A" w:rsidTr="00B76C9C">
        <w:trPr>
          <w:trHeight w:val="305"/>
        </w:trPr>
        <w:tc>
          <w:tcPr>
            <w:tcW w:w="2802" w:type="dxa"/>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 xml:space="preserve">Setsoto </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6615</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6032</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6032</w:t>
            </w:r>
          </w:p>
        </w:tc>
      </w:tr>
      <w:tr w:rsidR="00E61D6A" w:rsidRPr="00E61D6A" w:rsidTr="00B76C9C">
        <w:trPr>
          <w:trHeight w:val="366"/>
        </w:trPr>
        <w:tc>
          <w:tcPr>
            <w:tcW w:w="2802" w:type="dxa"/>
            <w:tcBorders>
              <w:bottom w:val="single" w:sz="4" w:space="0" w:color="auto"/>
            </w:tcBorders>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Phumelela</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373</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r>
      <w:tr w:rsidR="00E61D6A" w:rsidRPr="00E61D6A" w:rsidTr="00B76C9C">
        <w:trPr>
          <w:trHeight w:val="353"/>
        </w:trPr>
        <w:tc>
          <w:tcPr>
            <w:tcW w:w="2802" w:type="dxa"/>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Mafube</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3546</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r>
      <w:tr w:rsidR="00E61D6A" w:rsidRPr="00E61D6A" w:rsidTr="00B76C9C">
        <w:trPr>
          <w:trHeight w:val="366"/>
        </w:trPr>
        <w:tc>
          <w:tcPr>
            <w:tcW w:w="2802" w:type="dxa"/>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Ngwathe</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1647</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1336</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r>
      <w:tr w:rsidR="00E61D6A" w:rsidRPr="00E61D6A" w:rsidTr="00B76C9C">
        <w:trPr>
          <w:trHeight w:val="339"/>
        </w:trPr>
        <w:tc>
          <w:tcPr>
            <w:tcW w:w="2802" w:type="dxa"/>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Tokologo</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2543</w:t>
            </w:r>
          </w:p>
        </w:tc>
        <w:tc>
          <w:tcPr>
            <w:tcW w:w="2268" w:type="dxa"/>
          </w:tcPr>
          <w:p w:rsidR="00E61D6A" w:rsidRPr="00E61D6A" w:rsidRDefault="00E61D6A" w:rsidP="00B76C9C">
            <w:pPr>
              <w:spacing w:before="100" w:beforeAutospacing="1" w:after="100" w:afterAutospacing="1"/>
              <w:contextualSpacing/>
              <w:jc w:val="both"/>
              <w:rPr>
                <w:color w:val="000000"/>
              </w:rPr>
            </w:pPr>
            <w:r w:rsidRPr="00E61D6A">
              <w:rPr>
                <w:color w:val="000000"/>
              </w:rPr>
              <w:t>2543</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1279</w:t>
            </w:r>
          </w:p>
        </w:tc>
      </w:tr>
      <w:tr w:rsidR="00E61D6A" w:rsidRPr="00E61D6A" w:rsidTr="00B76C9C">
        <w:trPr>
          <w:trHeight w:val="366"/>
        </w:trPr>
        <w:tc>
          <w:tcPr>
            <w:tcW w:w="2802" w:type="dxa"/>
            <w:tcBorders>
              <w:top w:val="single" w:sz="4" w:space="0" w:color="auto"/>
              <w:bottom w:val="single" w:sz="4" w:space="0" w:color="auto"/>
            </w:tcBorders>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Nketoana</w:t>
            </w:r>
          </w:p>
        </w:tc>
        <w:tc>
          <w:tcPr>
            <w:tcW w:w="2126" w:type="dxa"/>
            <w:tcBorders>
              <w:top w:val="single" w:sz="4" w:space="0" w:color="auto"/>
              <w:bottom w:val="single" w:sz="4" w:space="0" w:color="auto"/>
            </w:tcBorders>
          </w:tcPr>
          <w:p w:rsidR="00E61D6A" w:rsidRPr="00E61D6A" w:rsidRDefault="00E61D6A" w:rsidP="00B76C9C">
            <w:pPr>
              <w:spacing w:before="100" w:beforeAutospacing="1" w:after="100" w:afterAutospacing="1"/>
              <w:contextualSpacing/>
              <w:jc w:val="both"/>
              <w:rPr>
                <w:color w:val="000000"/>
              </w:rPr>
            </w:pPr>
            <w:r w:rsidRPr="00E61D6A">
              <w:rPr>
                <w:color w:val="000000"/>
              </w:rPr>
              <w:t>3711</w:t>
            </w:r>
          </w:p>
        </w:tc>
        <w:tc>
          <w:tcPr>
            <w:tcW w:w="2268" w:type="dxa"/>
            <w:tcBorders>
              <w:top w:val="single" w:sz="4" w:space="0" w:color="auto"/>
              <w:bottom w:val="single" w:sz="4" w:space="0" w:color="auto"/>
            </w:tcBorders>
          </w:tcPr>
          <w:p w:rsidR="00E61D6A" w:rsidRPr="00E61D6A" w:rsidRDefault="00E61D6A" w:rsidP="00B76C9C">
            <w:pPr>
              <w:spacing w:before="100" w:beforeAutospacing="1" w:after="100" w:afterAutospacing="1"/>
              <w:contextualSpacing/>
              <w:jc w:val="both"/>
              <w:rPr>
                <w:color w:val="000000"/>
              </w:rPr>
            </w:pPr>
            <w:r w:rsidRPr="00E61D6A">
              <w:rPr>
                <w:color w:val="000000"/>
              </w:rPr>
              <w:t>3711</w:t>
            </w:r>
          </w:p>
        </w:tc>
        <w:tc>
          <w:tcPr>
            <w:tcW w:w="2126" w:type="dxa"/>
            <w:tcBorders>
              <w:top w:val="single" w:sz="4" w:space="0" w:color="auto"/>
              <w:bottom w:val="single" w:sz="4" w:space="0" w:color="auto"/>
            </w:tcBorders>
          </w:tcPr>
          <w:p w:rsidR="00E61D6A" w:rsidRPr="00E61D6A" w:rsidRDefault="00E61D6A" w:rsidP="00B76C9C">
            <w:pPr>
              <w:spacing w:before="100" w:beforeAutospacing="1" w:after="100" w:afterAutospacing="1"/>
              <w:contextualSpacing/>
              <w:jc w:val="both"/>
              <w:rPr>
                <w:color w:val="000000"/>
              </w:rPr>
            </w:pPr>
            <w:r w:rsidRPr="00E61D6A">
              <w:rPr>
                <w:color w:val="000000"/>
              </w:rPr>
              <w:t>2891</w:t>
            </w:r>
          </w:p>
        </w:tc>
      </w:tr>
      <w:tr w:rsidR="00E61D6A" w:rsidRPr="00E61D6A" w:rsidTr="00B76C9C">
        <w:trPr>
          <w:trHeight w:val="339"/>
        </w:trPr>
        <w:tc>
          <w:tcPr>
            <w:tcW w:w="2802" w:type="dxa"/>
            <w:tcBorders>
              <w:top w:val="single" w:sz="4" w:space="0" w:color="auto"/>
              <w:bottom w:val="single" w:sz="4" w:space="0" w:color="auto"/>
            </w:tcBorders>
            <w:shd w:val="clear" w:color="auto" w:fill="auto"/>
          </w:tcPr>
          <w:p w:rsidR="00E61D6A" w:rsidRPr="00E61D6A" w:rsidRDefault="00E61D6A" w:rsidP="00E61D6A">
            <w:pPr>
              <w:numPr>
                <w:ilvl w:val="0"/>
                <w:numId w:val="10"/>
              </w:numPr>
              <w:spacing w:before="100" w:beforeAutospacing="1" w:after="100" w:afterAutospacing="1"/>
              <w:ind w:left="284" w:hanging="284"/>
              <w:contextualSpacing/>
              <w:rPr>
                <w:color w:val="000000"/>
              </w:rPr>
            </w:pPr>
            <w:r w:rsidRPr="00E61D6A">
              <w:rPr>
                <w:color w:val="000000"/>
              </w:rPr>
              <w:t>Kopanong</w:t>
            </w:r>
          </w:p>
        </w:tc>
        <w:tc>
          <w:tcPr>
            <w:tcW w:w="2126" w:type="dxa"/>
            <w:tcBorders>
              <w:top w:val="single" w:sz="4" w:space="0" w:color="auto"/>
              <w:bottom w:val="single" w:sz="4" w:space="0" w:color="auto"/>
            </w:tcBorders>
          </w:tcPr>
          <w:p w:rsidR="00E61D6A" w:rsidRPr="00E61D6A" w:rsidRDefault="00E61D6A" w:rsidP="00B76C9C">
            <w:pPr>
              <w:spacing w:before="100" w:beforeAutospacing="1" w:after="100" w:afterAutospacing="1"/>
              <w:contextualSpacing/>
              <w:jc w:val="both"/>
              <w:rPr>
                <w:color w:val="000000"/>
              </w:rPr>
            </w:pPr>
            <w:r w:rsidRPr="00E61D6A">
              <w:rPr>
                <w:color w:val="000000"/>
              </w:rPr>
              <w:t>276</w:t>
            </w:r>
          </w:p>
        </w:tc>
        <w:tc>
          <w:tcPr>
            <w:tcW w:w="2268" w:type="dxa"/>
            <w:tcBorders>
              <w:top w:val="single" w:sz="4" w:space="0" w:color="auto"/>
              <w:bottom w:val="single" w:sz="4" w:space="0" w:color="auto"/>
            </w:tcBorders>
          </w:tcPr>
          <w:p w:rsidR="00E61D6A" w:rsidRPr="00E61D6A" w:rsidRDefault="00E61D6A" w:rsidP="00B76C9C">
            <w:pPr>
              <w:spacing w:before="100" w:beforeAutospacing="1" w:after="100" w:afterAutospacing="1"/>
              <w:contextualSpacing/>
              <w:jc w:val="both"/>
              <w:rPr>
                <w:color w:val="000000"/>
              </w:rPr>
            </w:pPr>
            <w:r w:rsidRPr="00E61D6A">
              <w:rPr>
                <w:color w:val="000000"/>
              </w:rPr>
              <w:t>276</w:t>
            </w:r>
          </w:p>
        </w:tc>
        <w:tc>
          <w:tcPr>
            <w:tcW w:w="2126" w:type="dxa"/>
          </w:tcPr>
          <w:p w:rsidR="00E61D6A" w:rsidRPr="00E61D6A" w:rsidRDefault="00E61D6A" w:rsidP="00B76C9C">
            <w:pPr>
              <w:spacing w:before="100" w:beforeAutospacing="1" w:after="100" w:afterAutospacing="1"/>
              <w:contextualSpacing/>
              <w:jc w:val="both"/>
              <w:rPr>
                <w:color w:val="000000"/>
              </w:rPr>
            </w:pPr>
            <w:r w:rsidRPr="00E61D6A">
              <w:rPr>
                <w:color w:val="000000"/>
              </w:rPr>
              <w:t>-</w:t>
            </w:r>
          </w:p>
        </w:tc>
      </w:tr>
      <w:tr w:rsidR="00E61D6A" w:rsidRPr="00E61D6A" w:rsidTr="00B76C9C">
        <w:trPr>
          <w:trHeight w:val="339"/>
        </w:trPr>
        <w:tc>
          <w:tcPr>
            <w:tcW w:w="2802" w:type="dxa"/>
            <w:tcBorders>
              <w:top w:val="single" w:sz="4" w:space="0" w:color="auto"/>
            </w:tcBorders>
            <w:shd w:val="clear" w:color="auto" w:fill="auto"/>
          </w:tcPr>
          <w:p w:rsidR="00E61D6A" w:rsidRPr="00E61D6A" w:rsidRDefault="00E61D6A" w:rsidP="00B76C9C">
            <w:pPr>
              <w:spacing w:before="100" w:beforeAutospacing="1" w:after="100" w:afterAutospacing="1"/>
              <w:contextualSpacing/>
              <w:rPr>
                <w:b/>
                <w:color w:val="000000"/>
              </w:rPr>
            </w:pPr>
            <w:r w:rsidRPr="00E61D6A">
              <w:rPr>
                <w:b/>
                <w:color w:val="000000"/>
              </w:rPr>
              <w:t>TOTAL</w:t>
            </w:r>
          </w:p>
        </w:tc>
        <w:tc>
          <w:tcPr>
            <w:tcW w:w="2126" w:type="dxa"/>
            <w:tcBorders>
              <w:top w:val="single" w:sz="4" w:space="0" w:color="auto"/>
            </w:tcBorders>
          </w:tcPr>
          <w:p w:rsidR="00E61D6A" w:rsidRPr="00E61D6A" w:rsidRDefault="00E61D6A" w:rsidP="00B76C9C">
            <w:pPr>
              <w:spacing w:before="100" w:beforeAutospacing="1" w:after="100" w:afterAutospacing="1"/>
              <w:contextualSpacing/>
              <w:jc w:val="both"/>
              <w:rPr>
                <w:b/>
                <w:color w:val="000000"/>
              </w:rPr>
            </w:pPr>
            <w:r w:rsidRPr="00E61D6A">
              <w:rPr>
                <w:b/>
                <w:color w:val="000000"/>
              </w:rPr>
              <w:t>17791</w:t>
            </w:r>
          </w:p>
        </w:tc>
        <w:tc>
          <w:tcPr>
            <w:tcW w:w="2268" w:type="dxa"/>
            <w:tcBorders>
              <w:top w:val="single" w:sz="4" w:space="0" w:color="auto"/>
            </w:tcBorders>
          </w:tcPr>
          <w:p w:rsidR="00E61D6A" w:rsidRPr="00E61D6A" w:rsidRDefault="00E61D6A" w:rsidP="00B76C9C">
            <w:pPr>
              <w:spacing w:before="100" w:beforeAutospacing="1" w:after="100" w:afterAutospacing="1"/>
              <w:contextualSpacing/>
              <w:jc w:val="both"/>
              <w:rPr>
                <w:b/>
                <w:color w:val="000000"/>
              </w:rPr>
            </w:pPr>
            <w:r w:rsidRPr="00E61D6A">
              <w:rPr>
                <w:b/>
                <w:color w:val="000000"/>
              </w:rPr>
              <w:t>11847</w:t>
            </w:r>
          </w:p>
        </w:tc>
        <w:tc>
          <w:tcPr>
            <w:tcW w:w="2126" w:type="dxa"/>
            <w:tcBorders>
              <w:top w:val="single" w:sz="4" w:space="0" w:color="auto"/>
            </w:tcBorders>
          </w:tcPr>
          <w:p w:rsidR="00E61D6A" w:rsidRPr="00E61D6A" w:rsidRDefault="00E61D6A" w:rsidP="00B76C9C">
            <w:pPr>
              <w:spacing w:before="100" w:beforeAutospacing="1" w:after="100" w:afterAutospacing="1"/>
              <w:contextualSpacing/>
              <w:jc w:val="both"/>
              <w:rPr>
                <w:b/>
                <w:color w:val="000000"/>
              </w:rPr>
            </w:pPr>
            <w:r w:rsidRPr="00E61D6A">
              <w:rPr>
                <w:b/>
                <w:color w:val="000000"/>
              </w:rPr>
              <w:t>10202</w:t>
            </w:r>
          </w:p>
        </w:tc>
      </w:tr>
    </w:tbl>
    <w:p w:rsidR="00E61D6A" w:rsidRPr="00E61D6A" w:rsidRDefault="00E61D6A" w:rsidP="00E61D6A">
      <w:pPr>
        <w:spacing w:before="100" w:beforeAutospacing="1" w:after="100" w:afterAutospacing="1" w:line="320" w:lineRule="atLeast"/>
        <w:jc w:val="both"/>
      </w:pPr>
      <w:r w:rsidRPr="00E61D6A">
        <w:lastRenderedPageBreak/>
        <w:t xml:space="preserve">The Free State currently remains with seven (7) projects with a backlog of 10 202 buckets to eradicate. These projects are in the process of constructing bulk services such as outfall sewer line (linking the settlement to the Waste Water Treatment Works) as well as pump stations. </w:t>
      </w:r>
    </w:p>
    <w:p w:rsidR="00E61D6A" w:rsidRPr="00E61D6A" w:rsidRDefault="00E61D6A" w:rsidP="00E61D6A">
      <w:pPr>
        <w:spacing w:before="100" w:beforeAutospacing="1" w:after="100" w:afterAutospacing="1"/>
        <w:ind w:left="720"/>
        <w:jc w:val="both"/>
        <w:rPr>
          <w:b/>
        </w:rPr>
      </w:pPr>
    </w:p>
    <w:p w:rsidR="00E61D6A" w:rsidRPr="00E61D6A" w:rsidRDefault="00E61D6A" w:rsidP="00244482">
      <w:pPr>
        <w:tabs>
          <w:tab w:val="left" w:pos="3380"/>
        </w:tabs>
        <w:spacing w:line="336" w:lineRule="auto"/>
        <w:ind w:left="720" w:hanging="720"/>
        <w:jc w:val="both"/>
        <w:rPr>
          <w:rFonts w:eastAsia="Times New Roman"/>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46" w:rsidRDefault="00DD3D46" w:rsidP="00DD601E">
      <w:r>
        <w:separator/>
      </w:r>
    </w:p>
  </w:endnote>
  <w:endnote w:type="continuationSeparator" w:id="1">
    <w:p w:rsidR="00DD3D46" w:rsidRDefault="00DD3D46"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46" w:rsidRDefault="00DD3D46" w:rsidP="00DD601E">
      <w:r>
        <w:separator/>
      </w:r>
    </w:p>
  </w:footnote>
  <w:footnote w:type="continuationSeparator" w:id="1">
    <w:p w:rsidR="00DD3D46" w:rsidRDefault="00DD3D46"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5B14CF">
      <w:rPr>
        <w:rFonts w:ascii="Times New Roman" w:hAnsi="Times New Roman"/>
        <w:lang w:val="en-US"/>
      </w:rPr>
      <w:t>2</w:t>
    </w:r>
    <w:r w:rsidR="005B27E5">
      <w:rPr>
        <w:rFonts w:ascii="Times New Roman" w:hAnsi="Times New Roman"/>
        <w:lang w:val="en-US"/>
      </w:rPr>
      <w:t>7</w:t>
    </w:r>
    <w:r w:rsidR="00217DD5">
      <w:rPr>
        <w:rFonts w:ascii="Times New Roman" w:hAnsi="Times New Roman"/>
        <w:lang w:val="en-US"/>
      </w:rPr>
      <w:t>4</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769EF"/>
    <w:multiLevelType w:val="hybridMultilevel"/>
    <w:tmpl w:val="AC12B4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8"/>
  </w:num>
  <w:num w:numId="7">
    <w:abstractNumId w:val="9"/>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50D14"/>
    <w:rsid w:val="00051FEC"/>
    <w:rsid w:val="000544CB"/>
    <w:rsid w:val="0005592E"/>
    <w:rsid w:val="0007494B"/>
    <w:rsid w:val="00084B00"/>
    <w:rsid w:val="000A42A5"/>
    <w:rsid w:val="000B6158"/>
    <w:rsid w:val="000D5D62"/>
    <w:rsid w:val="000D7A36"/>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521A"/>
    <w:rsid w:val="002B28DD"/>
    <w:rsid w:val="002B58C8"/>
    <w:rsid w:val="002B67B9"/>
    <w:rsid w:val="002C0236"/>
    <w:rsid w:val="003170FE"/>
    <w:rsid w:val="0032364B"/>
    <w:rsid w:val="00323EAF"/>
    <w:rsid w:val="00331330"/>
    <w:rsid w:val="00334616"/>
    <w:rsid w:val="0034698C"/>
    <w:rsid w:val="003564D0"/>
    <w:rsid w:val="00361ED7"/>
    <w:rsid w:val="0037224B"/>
    <w:rsid w:val="0037336E"/>
    <w:rsid w:val="00377A43"/>
    <w:rsid w:val="00396DF7"/>
    <w:rsid w:val="003A64DD"/>
    <w:rsid w:val="003B0B7D"/>
    <w:rsid w:val="003B584A"/>
    <w:rsid w:val="003C000A"/>
    <w:rsid w:val="003E63C7"/>
    <w:rsid w:val="003E779C"/>
    <w:rsid w:val="004123B9"/>
    <w:rsid w:val="00412FC4"/>
    <w:rsid w:val="004201D9"/>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50CD4"/>
    <w:rsid w:val="00565757"/>
    <w:rsid w:val="00590C03"/>
    <w:rsid w:val="005A1C92"/>
    <w:rsid w:val="005B14CF"/>
    <w:rsid w:val="005B27E5"/>
    <w:rsid w:val="005B32B4"/>
    <w:rsid w:val="005D7535"/>
    <w:rsid w:val="005F0EA7"/>
    <w:rsid w:val="0060314C"/>
    <w:rsid w:val="00605304"/>
    <w:rsid w:val="006137AC"/>
    <w:rsid w:val="00623AC6"/>
    <w:rsid w:val="00626752"/>
    <w:rsid w:val="00640BF5"/>
    <w:rsid w:val="0065000E"/>
    <w:rsid w:val="00650CC8"/>
    <w:rsid w:val="006650FB"/>
    <w:rsid w:val="006662AB"/>
    <w:rsid w:val="0067148F"/>
    <w:rsid w:val="00674A50"/>
    <w:rsid w:val="006E7915"/>
    <w:rsid w:val="006E79FE"/>
    <w:rsid w:val="006F4BD2"/>
    <w:rsid w:val="006F74D3"/>
    <w:rsid w:val="007016B8"/>
    <w:rsid w:val="00701F2A"/>
    <w:rsid w:val="0073418C"/>
    <w:rsid w:val="0074602B"/>
    <w:rsid w:val="00754A9C"/>
    <w:rsid w:val="007A473E"/>
    <w:rsid w:val="007D7842"/>
    <w:rsid w:val="007D7D18"/>
    <w:rsid w:val="007F53FB"/>
    <w:rsid w:val="007F58E5"/>
    <w:rsid w:val="0082294C"/>
    <w:rsid w:val="00823C33"/>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B78D5"/>
    <w:rsid w:val="00AC313B"/>
    <w:rsid w:val="00AD00AF"/>
    <w:rsid w:val="00AE7A8B"/>
    <w:rsid w:val="00AF79AE"/>
    <w:rsid w:val="00B1301C"/>
    <w:rsid w:val="00B15583"/>
    <w:rsid w:val="00B22EEA"/>
    <w:rsid w:val="00B313AE"/>
    <w:rsid w:val="00B511DD"/>
    <w:rsid w:val="00B51816"/>
    <w:rsid w:val="00B6332A"/>
    <w:rsid w:val="00B7210B"/>
    <w:rsid w:val="00B76C9C"/>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4671F"/>
    <w:rsid w:val="00D65FD5"/>
    <w:rsid w:val="00D702A4"/>
    <w:rsid w:val="00D7257B"/>
    <w:rsid w:val="00D94AAB"/>
    <w:rsid w:val="00DA150B"/>
    <w:rsid w:val="00DB7D86"/>
    <w:rsid w:val="00DC4A82"/>
    <w:rsid w:val="00DC7309"/>
    <w:rsid w:val="00DD3D46"/>
    <w:rsid w:val="00DD5A82"/>
    <w:rsid w:val="00DD601E"/>
    <w:rsid w:val="00DD6520"/>
    <w:rsid w:val="00DD65EA"/>
    <w:rsid w:val="00DD738B"/>
    <w:rsid w:val="00DE6CA0"/>
    <w:rsid w:val="00DF5E83"/>
    <w:rsid w:val="00DF6A74"/>
    <w:rsid w:val="00E162FE"/>
    <w:rsid w:val="00E2041A"/>
    <w:rsid w:val="00E50EE9"/>
    <w:rsid w:val="00E543FB"/>
    <w:rsid w:val="00E61D6A"/>
    <w:rsid w:val="00E64FC8"/>
    <w:rsid w:val="00E6796A"/>
    <w:rsid w:val="00E874FF"/>
    <w:rsid w:val="00E92B72"/>
    <w:rsid w:val="00E94BFB"/>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2020-07-29T17:45:00Z</dcterms:created>
  <dcterms:modified xsi:type="dcterms:W3CDTF">2020-07-29T17:45:00Z</dcterms:modified>
</cp:coreProperties>
</file>