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37" w:rsidRPr="00944537" w:rsidRDefault="00944537" w:rsidP="00944537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944537">
        <w:rPr>
          <w:rFonts w:ascii="Arial" w:hAnsi="Arial" w:cs="Arial"/>
          <w:sz w:val="18"/>
          <w:szCs w:val="18"/>
          <w:lang w:val="en-ZA"/>
        </w:rPr>
        <w:t>Official reply:</w:t>
      </w:r>
      <w:r w:rsidR="00481B1D">
        <w:rPr>
          <w:rFonts w:ascii="Arial" w:hAnsi="Arial" w:cs="Arial"/>
          <w:sz w:val="18"/>
          <w:szCs w:val="18"/>
          <w:lang w:val="en-ZA"/>
        </w:rPr>
        <w:t xml:space="preserve"> 07 June 2016</w:t>
      </w:r>
    </w:p>
    <w:p w:rsidR="00944537" w:rsidRPr="00944537" w:rsidRDefault="00944537" w:rsidP="00944537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944537">
        <w:rPr>
          <w:rFonts w:ascii="Arial" w:hAnsi="Arial" w:cs="Arial"/>
          <w:b/>
          <w:lang w:val="en-ZA"/>
        </w:rPr>
        <w:t>NATIONAL ASSEMBLY</w:t>
      </w:r>
    </w:p>
    <w:p w:rsidR="00944537" w:rsidRPr="00944537" w:rsidRDefault="00944537" w:rsidP="00944537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944537">
        <w:rPr>
          <w:rFonts w:ascii="Arial" w:hAnsi="Arial" w:cs="Arial"/>
          <w:b/>
          <w:lang w:val="en-ZA"/>
        </w:rPr>
        <w:t>QUESTION 1273/2016</w:t>
      </w:r>
    </w:p>
    <w:p w:rsidR="00944537" w:rsidRPr="00944537" w:rsidRDefault="00944537" w:rsidP="00944537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944537">
        <w:rPr>
          <w:rFonts w:ascii="Arial" w:hAnsi="Arial" w:cs="Arial"/>
          <w:b/>
          <w:lang w:val="en-ZA"/>
        </w:rPr>
        <w:t>FOR WRITTEN REPLY</w:t>
      </w:r>
    </w:p>
    <w:p w:rsidR="00944537" w:rsidRPr="00944537" w:rsidRDefault="00944537" w:rsidP="00944537">
      <w:pPr>
        <w:rPr>
          <w:rFonts w:ascii="Arial" w:hAnsi="Arial" w:cs="Arial"/>
          <w:sz w:val="22"/>
          <w:szCs w:val="22"/>
          <w:lang w:val="en-ZA"/>
        </w:rPr>
      </w:pPr>
      <w:r w:rsidRPr="00944537">
        <w:rPr>
          <w:rFonts w:ascii="Arial" w:hAnsi="Arial" w:cs="Arial"/>
          <w:sz w:val="22"/>
          <w:szCs w:val="22"/>
          <w:lang w:val="en-ZA"/>
        </w:rPr>
        <w:t>Date of publication on internal question paper: 06 May 2016</w:t>
      </w:r>
    </w:p>
    <w:p w:rsidR="00944537" w:rsidRPr="00944537" w:rsidRDefault="00944537" w:rsidP="00944537">
      <w:pPr>
        <w:rPr>
          <w:rFonts w:ascii="Arial" w:hAnsi="Arial" w:cs="Arial"/>
          <w:sz w:val="22"/>
          <w:szCs w:val="22"/>
          <w:lang w:val="en-ZA"/>
        </w:rPr>
      </w:pPr>
      <w:r w:rsidRPr="00944537">
        <w:rPr>
          <w:rFonts w:ascii="Arial" w:hAnsi="Arial" w:cs="Arial"/>
          <w:sz w:val="22"/>
          <w:szCs w:val="22"/>
          <w:lang w:val="en-ZA"/>
        </w:rPr>
        <w:t>Internal question paper no: 13</w:t>
      </w:r>
    </w:p>
    <w:p w:rsidR="00944537" w:rsidRPr="00944537" w:rsidRDefault="00944537" w:rsidP="00944537">
      <w:pPr>
        <w:rPr>
          <w:rFonts w:ascii="Arial" w:hAnsi="Arial" w:cs="Arial"/>
          <w:sz w:val="22"/>
          <w:szCs w:val="22"/>
          <w:lang w:val="en-ZA"/>
        </w:rPr>
      </w:pPr>
    </w:p>
    <w:p w:rsidR="00944537" w:rsidRPr="00944537" w:rsidRDefault="00944537" w:rsidP="00944537">
      <w:pPr>
        <w:spacing w:before="100" w:beforeAutospacing="1" w:after="100" w:afterAutospacing="1"/>
        <w:ind w:left="851" w:hanging="851"/>
        <w:jc w:val="both"/>
        <w:outlineLvl w:val="0"/>
        <w:rPr>
          <w:rFonts w:ascii="Arial" w:eastAsia="Calibri" w:hAnsi="Arial" w:cs="Arial"/>
          <w:lang w:val="en-GB"/>
        </w:rPr>
      </w:pPr>
      <w:r w:rsidRPr="00944537">
        <w:rPr>
          <w:rFonts w:ascii="Arial" w:eastAsia="Calibri" w:hAnsi="Arial" w:cs="Arial"/>
          <w:b/>
          <w:lang w:val="en-GB"/>
        </w:rPr>
        <w:t>1273</w:t>
      </w:r>
      <w:r w:rsidRPr="00944537">
        <w:rPr>
          <w:rFonts w:ascii="Arial" w:eastAsia="Calibri" w:hAnsi="Arial" w:cs="Arial"/>
          <w:b/>
          <w:bCs/>
          <w:lang w:val="en-GB"/>
        </w:rPr>
        <w:t>.</w:t>
      </w:r>
      <w:r w:rsidRPr="00944537">
        <w:rPr>
          <w:rFonts w:ascii="Arial" w:eastAsia="Calibri" w:hAnsi="Arial" w:cs="Arial"/>
          <w:b/>
          <w:bCs/>
          <w:lang w:val="en-GB"/>
        </w:rPr>
        <w:tab/>
      </w:r>
      <w:r w:rsidRPr="00944537">
        <w:rPr>
          <w:rFonts w:ascii="Arial" w:eastAsia="Calibri" w:hAnsi="Arial" w:cs="Arial"/>
          <w:b/>
          <w:lang w:val="en-GB"/>
        </w:rPr>
        <w:t>Ms K de Kock (DA) to ask the Minister of Social Development:</w:t>
      </w:r>
    </w:p>
    <w:p w:rsidR="00944537" w:rsidRPr="00944537" w:rsidRDefault="00944537" w:rsidP="00944537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lang w:val="en-GB"/>
        </w:rPr>
      </w:pPr>
      <w:r w:rsidRPr="00944537">
        <w:rPr>
          <w:rFonts w:ascii="Arial" w:eastAsia="Calibri" w:hAnsi="Arial" w:cs="Arial"/>
          <w:lang w:val="en-GB"/>
        </w:rPr>
        <w:t>(1)</w:t>
      </w:r>
      <w:r w:rsidRPr="00944537">
        <w:rPr>
          <w:rFonts w:ascii="Arial" w:eastAsia="Calibri" w:hAnsi="Arial" w:cs="Arial"/>
          <w:lang w:val="en-GB"/>
        </w:rPr>
        <w:tab/>
        <w:t>Whether her department commissioned any studies into the (a) social and (b) financial impact of the universalisation of the (i) older persons and (ii) child support grants; if not, in each case, why not; if so, in each case, (aa) which institution(s) conducted the specified studies, (bb) when were such studies completed and (cc) is the research findings publicly available;</w:t>
      </w:r>
    </w:p>
    <w:p w:rsidR="00944537" w:rsidRPr="00944537" w:rsidRDefault="00944537" w:rsidP="00944537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sz w:val="20"/>
          <w:szCs w:val="20"/>
          <w:lang w:val="en-GB"/>
        </w:rPr>
      </w:pPr>
      <w:r w:rsidRPr="00944537">
        <w:rPr>
          <w:rFonts w:ascii="Arial" w:eastAsia="Calibri" w:hAnsi="Arial" w:cs="Arial"/>
          <w:lang w:val="en-GB"/>
        </w:rPr>
        <w:t>(2)</w:t>
      </w:r>
      <w:r w:rsidRPr="00944537">
        <w:rPr>
          <w:rFonts w:ascii="Arial" w:eastAsia="Calibri" w:hAnsi="Arial" w:cs="Arial"/>
          <w:lang w:val="en-GB"/>
        </w:rPr>
        <w:tab/>
        <w:t>what are the key factors contributing to the development of a policy on the universalisation of the (a) older persons and (b) child support grants respectively?</w:t>
      </w:r>
      <w:r w:rsidRPr="00944537">
        <w:rPr>
          <w:rFonts w:ascii="Arial" w:eastAsia="Calibri" w:hAnsi="Arial" w:cs="Arial"/>
          <w:lang w:val="en-GB"/>
        </w:rPr>
        <w:tab/>
      </w:r>
      <w:r w:rsidRPr="00944537">
        <w:rPr>
          <w:rFonts w:ascii="Arial" w:eastAsia="Calibri" w:hAnsi="Arial" w:cs="Arial"/>
          <w:lang w:val="en-GB"/>
        </w:rPr>
        <w:tab/>
      </w:r>
      <w:r w:rsidRPr="00944537">
        <w:rPr>
          <w:rFonts w:ascii="Arial" w:eastAsia="Calibri" w:hAnsi="Arial" w:cs="Arial"/>
          <w:lang w:val="en-GB"/>
        </w:rPr>
        <w:tab/>
      </w:r>
      <w:r w:rsidRPr="00944537">
        <w:rPr>
          <w:rFonts w:ascii="Arial" w:eastAsia="Calibri" w:hAnsi="Arial" w:cs="Arial"/>
          <w:lang w:val="en-GB"/>
        </w:rPr>
        <w:tab/>
      </w:r>
      <w:r w:rsidRPr="00944537">
        <w:rPr>
          <w:rFonts w:ascii="Arial" w:eastAsia="Calibri" w:hAnsi="Arial" w:cs="Arial"/>
          <w:lang w:val="en-GB"/>
        </w:rPr>
        <w:tab/>
      </w:r>
      <w:r w:rsidRPr="00944537">
        <w:rPr>
          <w:rFonts w:ascii="Arial" w:eastAsia="Calibri" w:hAnsi="Arial" w:cs="Arial"/>
          <w:lang w:val="en-GB"/>
        </w:rPr>
        <w:tab/>
      </w:r>
      <w:r w:rsidRPr="00944537">
        <w:rPr>
          <w:rFonts w:ascii="Arial" w:eastAsia="Calibri" w:hAnsi="Arial" w:cs="Arial"/>
          <w:lang w:val="en-GB"/>
        </w:rPr>
        <w:tab/>
      </w:r>
      <w:r w:rsidRPr="00944537">
        <w:rPr>
          <w:rFonts w:ascii="Arial" w:eastAsia="Calibri" w:hAnsi="Arial" w:cs="Arial"/>
          <w:lang w:val="en-GB"/>
        </w:rPr>
        <w:tab/>
      </w:r>
      <w:r w:rsidRPr="00944537">
        <w:rPr>
          <w:rFonts w:ascii="Arial" w:eastAsia="Calibri" w:hAnsi="Arial" w:cs="Arial"/>
          <w:lang w:val="en-GB"/>
        </w:rPr>
        <w:tab/>
      </w:r>
      <w:r w:rsidRPr="00944537">
        <w:rPr>
          <w:rFonts w:ascii="Arial" w:eastAsia="Calibri" w:hAnsi="Arial" w:cs="Arial"/>
          <w:sz w:val="20"/>
          <w:szCs w:val="20"/>
          <w:lang w:val="en-GB"/>
        </w:rPr>
        <w:t>NW1421E</w:t>
      </w:r>
    </w:p>
    <w:p w:rsidR="00944537" w:rsidRPr="00944537" w:rsidRDefault="00944537" w:rsidP="00944537">
      <w:pPr>
        <w:tabs>
          <w:tab w:val="left" w:pos="1335"/>
        </w:tabs>
        <w:rPr>
          <w:rFonts w:ascii="Arial" w:hAnsi="Arial" w:cs="Arial"/>
          <w:b/>
        </w:rPr>
      </w:pPr>
      <w:r w:rsidRPr="00944537">
        <w:rPr>
          <w:rFonts w:ascii="Arial" w:hAnsi="Arial" w:cs="Arial"/>
          <w:b/>
        </w:rPr>
        <w:t>Reply:</w:t>
      </w:r>
    </w:p>
    <w:p w:rsidR="00944537" w:rsidRPr="00944537" w:rsidRDefault="00944537" w:rsidP="00944537">
      <w:pPr>
        <w:tabs>
          <w:tab w:val="left" w:pos="1335"/>
        </w:tabs>
        <w:rPr>
          <w:rFonts w:ascii="Arial" w:hAnsi="Arial" w:cs="Arial"/>
          <w:b/>
        </w:rPr>
      </w:pPr>
    </w:p>
    <w:p w:rsidR="006F475C" w:rsidRPr="00481B1D" w:rsidRDefault="006F475C" w:rsidP="006F475C">
      <w:pPr>
        <w:tabs>
          <w:tab w:val="left" w:pos="1335"/>
        </w:tabs>
        <w:ind w:left="720" w:hanging="720"/>
        <w:jc w:val="both"/>
        <w:rPr>
          <w:rFonts w:ascii="Arial" w:hAnsi="Arial" w:cs="Arial"/>
          <w:i/>
        </w:rPr>
      </w:pPr>
      <w:r w:rsidRPr="00481B1D">
        <w:rPr>
          <w:rFonts w:ascii="Arial" w:hAnsi="Arial" w:cs="Arial"/>
        </w:rPr>
        <w:t>a)  (i)</w:t>
      </w:r>
      <w:r w:rsidRPr="00481B1D">
        <w:rPr>
          <w:rFonts w:ascii="Arial" w:hAnsi="Arial" w:cs="Arial"/>
        </w:rPr>
        <w:tab/>
        <w:t xml:space="preserve"> Y</w:t>
      </w:r>
      <w:r w:rsidR="00481B1D" w:rsidRPr="00481B1D">
        <w:rPr>
          <w:rFonts w:ascii="Arial" w:hAnsi="Arial" w:cs="Arial"/>
        </w:rPr>
        <w:t>es</w:t>
      </w:r>
      <w:r w:rsidR="00EE1360" w:rsidRPr="00481B1D">
        <w:rPr>
          <w:rFonts w:ascii="Arial" w:hAnsi="Arial" w:cs="Arial"/>
        </w:rPr>
        <w:t xml:space="preserve">, the universalization proposals are rooted in the Taylor Committee </w:t>
      </w:r>
      <w:r w:rsidR="00D00940" w:rsidRPr="00481B1D">
        <w:rPr>
          <w:rFonts w:ascii="Arial" w:hAnsi="Arial" w:cs="Arial"/>
        </w:rPr>
        <w:t>recommendations</w:t>
      </w:r>
      <w:r w:rsidR="00EE1360" w:rsidRPr="00481B1D">
        <w:rPr>
          <w:rFonts w:ascii="Arial" w:hAnsi="Arial" w:cs="Arial"/>
        </w:rPr>
        <w:t xml:space="preserve"> of 2002. The</w:t>
      </w:r>
      <w:r w:rsidRPr="00481B1D">
        <w:rPr>
          <w:rFonts w:ascii="Arial" w:hAnsi="Arial" w:cs="Arial"/>
        </w:rPr>
        <w:t xml:space="preserve"> Department of Social Development has </w:t>
      </w:r>
      <w:r w:rsidR="00D00940" w:rsidRPr="00481B1D">
        <w:rPr>
          <w:rFonts w:ascii="Arial" w:hAnsi="Arial" w:cs="Arial"/>
        </w:rPr>
        <w:t xml:space="preserve">also </w:t>
      </w:r>
      <w:r w:rsidRPr="00481B1D">
        <w:rPr>
          <w:rFonts w:ascii="Arial" w:hAnsi="Arial" w:cs="Arial"/>
        </w:rPr>
        <w:t xml:space="preserve">conducted studies on the social and financial impact of the universalisation of both the older Persons Grant (OPG) as well as the Child Support Grant (CSG) entitled </w:t>
      </w:r>
      <w:r w:rsidRPr="00481B1D">
        <w:rPr>
          <w:rFonts w:ascii="Arial" w:hAnsi="Arial" w:cs="Arial"/>
          <w:i/>
        </w:rPr>
        <w:t xml:space="preserve">“An exploration of the causes of poverty in old age in South Africa” </w:t>
      </w:r>
      <w:r w:rsidRPr="00481B1D">
        <w:rPr>
          <w:rFonts w:ascii="Arial" w:hAnsi="Arial" w:cs="Arial"/>
        </w:rPr>
        <w:t xml:space="preserve">and </w:t>
      </w:r>
      <w:r w:rsidRPr="00481B1D">
        <w:rPr>
          <w:rFonts w:ascii="Arial" w:hAnsi="Arial" w:cs="Arial"/>
          <w:i/>
        </w:rPr>
        <w:t>“The Feasibility study on the universal provision of the Child Support Grant (CSG) in South Africa”</w:t>
      </w:r>
    </w:p>
    <w:p w:rsidR="006F475C" w:rsidRDefault="006F475C" w:rsidP="006F475C">
      <w:pPr>
        <w:tabs>
          <w:tab w:val="left" w:pos="1335"/>
        </w:tabs>
        <w:ind w:left="720" w:hanging="720"/>
        <w:jc w:val="both"/>
        <w:rPr>
          <w:rFonts w:ascii="Arial" w:hAnsi="Arial" w:cs="Arial"/>
        </w:rPr>
      </w:pPr>
    </w:p>
    <w:p w:rsidR="006F475C" w:rsidRPr="006C1EA3" w:rsidRDefault="006F475C" w:rsidP="006F475C">
      <w:pPr>
        <w:tabs>
          <w:tab w:val="left" w:pos="1335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</w:r>
      <w:r w:rsidRPr="006C1EA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Discussion Paper with policy options was developed. The Paper also highlights financial implications for each option. </w:t>
      </w:r>
    </w:p>
    <w:p w:rsidR="006F475C" w:rsidRDefault="006F475C" w:rsidP="006F475C">
      <w:pPr>
        <w:tabs>
          <w:tab w:val="left" w:pos="1335"/>
        </w:tabs>
        <w:rPr>
          <w:rFonts w:ascii="Arial" w:hAnsi="Arial" w:cs="Arial"/>
          <w:b/>
        </w:rPr>
      </w:pPr>
    </w:p>
    <w:p w:rsidR="006F475C" w:rsidRDefault="006F475C" w:rsidP="00D13BEF">
      <w:pPr>
        <w:tabs>
          <w:tab w:val="left" w:pos="1335"/>
        </w:tabs>
        <w:ind w:left="2165" w:hanging="889"/>
        <w:jc w:val="both"/>
        <w:rPr>
          <w:rFonts w:ascii="Arial" w:hAnsi="Arial" w:cs="Arial"/>
        </w:rPr>
      </w:pPr>
      <w:r w:rsidRPr="006C5F96">
        <w:rPr>
          <w:rFonts w:ascii="Arial" w:hAnsi="Arial" w:cs="Arial"/>
          <w:b/>
        </w:rPr>
        <w:t xml:space="preserve"> </w:t>
      </w:r>
      <w:r w:rsidR="00D13BEF">
        <w:rPr>
          <w:rFonts w:ascii="Arial" w:hAnsi="Arial" w:cs="Arial"/>
        </w:rPr>
        <w:t>(aa)</w:t>
      </w:r>
      <w:r w:rsidR="00D13BEF">
        <w:rPr>
          <w:rFonts w:ascii="Arial" w:hAnsi="Arial" w:cs="Arial"/>
        </w:rPr>
        <w:tab/>
        <w:t>T</w:t>
      </w:r>
      <w:r w:rsidRPr="00700C34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OPG </w:t>
      </w:r>
      <w:r w:rsidRPr="00700C34">
        <w:rPr>
          <w:rFonts w:ascii="Arial" w:hAnsi="Arial" w:cs="Arial"/>
        </w:rPr>
        <w:t>study was conducted</w:t>
      </w:r>
      <w:r>
        <w:rPr>
          <w:rFonts w:ascii="Arial" w:hAnsi="Arial" w:cs="Arial"/>
        </w:rPr>
        <w:t xml:space="preserve"> in-house</w:t>
      </w:r>
      <w:r w:rsidRPr="00700C34">
        <w:rPr>
          <w:rFonts w:ascii="Arial" w:hAnsi="Arial" w:cs="Arial"/>
        </w:rPr>
        <w:t xml:space="preserve"> by the</w:t>
      </w:r>
      <w:r>
        <w:rPr>
          <w:rFonts w:ascii="Arial" w:hAnsi="Arial" w:cs="Arial"/>
        </w:rPr>
        <w:t xml:space="preserve"> Department, whilst the CSG study was conducted by the Economic Policy Research Institute (EPRI) for the Department.</w:t>
      </w:r>
    </w:p>
    <w:p w:rsidR="006F475C" w:rsidRDefault="006F475C" w:rsidP="006F475C">
      <w:pPr>
        <w:tabs>
          <w:tab w:val="left" w:pos="13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F475C" w:rsidRDefault="006F475C" w:rsidP="006F475C">
      <w:pPr>
        <w:tabs>
          <w:tab w:val="left" w:pos="1335"/>
        </w:tabs>
        <w:ind w:left="2127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(bb)</w:t>
      </w:r>
      <w:r>
        <w:rPr>
          <w:rFonts w:ascii="Arial" w:hAnsi="Arial" w:cs="Arial"/>
        </w:rPr>
        <w:tab/>
        <w:t>The CSG study was concluded in 2011 and the OPG study in 2014.</w:t>
      </w:r>
    </w:p>
    <w:p w:rsidR="006F475C" w:rsidRDefault="006F475C" w:rsidP="006F475C">
      <w:pPr>
        <w:tabs>
          <w:tab w:val="left" w:pos="1335"/>
        </w:tabs>
        <w:jc w:val="both"/>
        <w:rPr>
          <w:rFonts w:ascii="Arial" w:hAnsi="Arial" w:cs="Arial"/>
        </w:rPr>
      </w:pPr>
    </w:p>
    <w:p w:rsidR="006F475C" w:rsidRDefault="00D13BEF" w:rsidP="00D13BEF">
      <w:pPr>
        <w:tabs>
          <w:tab w:val="left" w:pos="1276"/>
        </w:tabs>
        <w:ind w:left="2127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(cc)</w:t>
      </w:r>
      <w:r>
        <w:rPr>
          <w:rFonts w:ascii="Arial" w:hAnsi="Arial" w:cs="Arial"/>
        </w:rPr>
        <w:tab/>
        <w:t>T</w:t>
      </w:r>
      <w:r w:rsidR="006F475C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OPG research r</w:t>
      </w:r>
      <w:r w:rsidR="006F475C">
        <w:rPr>
          <w:rFonts w:ascii="Arial" w:hAnsi="Arial" w:cs="Arial"/>
        </w:rPr>
        <w:t xml:space="preserve">eport is available for </w:t>
      </w:r>
      <w:r>
        <w:rPr>
          <w:rFonts w:ascii="Arial" w:hAnsi="Arial" w:cs="Arial"/>
        </w:rPr>
        <w:t xml:space="preserve">various stakeholders. The CSG research report however is currently not available for public reading as the Department is currently working on another study related to the CSG Universalisation. </w:t>
      </w:r>
    </w:p>
    <w:p w:rsidR="006F475C" w:rsidRDefault="006F475C" w:rsidP="006F475C">
      <w:pPr>
        <w:rPr>
          <w:rFonts w:ascii="Arial" w:hAnsi="Arial" w:cs="Arial"/>
        </w:rPr>
      </w:pPr>
    </w:p>
    <w:p w:rsidR="00927F13" w:rsidRPr="00AC3516" w:rsidRDefault="006F475C" w:rsidP="007577B6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>
        <w:rPr>
          <w:rFonts w:ascii="Arial" w:hAnsi="Arial" w:cs="Arial"/>
        </w:rPr>
        <w:tab/>
        <w:t>(a)</w:t>
      </w:r>
      <w:r w:rsidR="005E65E4">
        <w:rPr>
          <w:rFonts w:ascii="Arial" w:hAnsi="Arial" w:cs="Arial"/>
        </w:rPr>
        <w:t xml:space="preserve"> (b)</w:t>
      </w:r>
      <w:r>
        <w:rPr>
          <w:rFonts w:ascii="Arial" w:hAnsi="Arial" w:cs="Arial"/>
        </w:rPr>
        <w:tab/>
      </w:r>
      <w:r w:rsidR="00927F13">
        <w:rPr>
          <w:rFonts w:ascii="Arial" w:hAnsi="Arial" w:cs="Arial"/>
        </w:rPr>
        <w:t xml:space="preserve">Essentially, the </w:t>
      </w:r>
      <w:r w:rsidR="0022306C" w:rsidRPr="00944537">
        <w:rPr>
          <w:rFonts w:ascii="Arial" w:eastAsia="Calibri" w:hAnsi="Arial" w:cs="Arial"/>
          <w:lang w:val="en-GB"/>
        </w:rPr>
        <w:t>key factors contributing to the development of a policy on the universalisation</w:t>
      </w:r>
      <w:r w:rsidR="00927F13">
        <w:rPr>
          <w:rFonts w:ascii="Arial" w:hAnsi="Arial" w:cs="Arial"/>
        </w:rPr>
        <w:t xml:space="preserve"> </w:t>
      </w:r>
      <w:r w:rsidR="0022306C">
        <w:rPr>
          <w:rFonts w:ascii="Arial" w:hAnsi="Arial" w:cs="Arial"/>
        </w:rPr>
        <w:t xml:space="preserve">stems from the need to </w:t>
      </w:r>
      <w:r w:rsidR="00927F13">
        <w:rPr>
          <w:rFonts w:ascii="Arial" w:hAnsi="Arial" w:cs="Arial"/>
        </w:rPr>
        <w:t xml:space="preserve">ensure that all excluded </w:t>
      </w:r>
      <w:r w:rsidR="0022306C">
        <w:rPr>
          <w:rFonts w:ascii="Arial" w:hAnsi="Arial" w:cs="Arial"/>
        </w:rPr>
        <w:t xml:space="preserve">eligible </w:t>
      </w:r>
      <w:r w:rsidR="00927F13">
        <w:rPr>
          <w:rFonts w:ascii="Arial" w:hAnsi="Arial" w:cs="Arial"/>
        </w:rPr>
        <w:t>poor people are captured</w:t>
      </w:r>
      <w:r w:rsidR="0022306C">
        <w:rPr>
          <w:rFonts w:ascii="Arial" w:hAnsi="Arial" w:cs="Arial"/>
        </w:rPr>
        <w:t xml:space="preserve"> and receive social grants </w:t>
      </w:r>
      <w:r w:rsidR="00927F13">
        <w:rPr>
          <w:rFonts w:ascii="Arial" w:hAnsi="Arial" w:cs="Arial"/>
        </w:rPr>
        <w:t xml:space="preserve">through an easier administration process that results from Universalisation. </w:t>
      </w:r>
      <w:r w:rsidR="00927F13" w:rsidRPr="00AC3516">
        <w:rPr>
          <w:rFonts w:ascii="Arial" w:hAnsi="Arial" w:cs="Arial"/>
        </w:rPr>
        <w:t>The CSG</w:t>
      </w:r>
      <w:r w:rsidR="00AC3516" w:rsidRPr="00AC3516">
        <w:rPr>
          <w:rFonts w:ascii="Arial" w:hAnsi="Arial" w:cs="Arial"/>
        </w:rPr>
        <w:t xml:space="preserve"> and OPG are</w:t>
      </w:r>
      <w:r w:rsidR="00927F13" w:rsidRPr="00AC3516">
        <w:rPr>
          <w:rFonts w:ascii="Arial" w:hAnsi="Arial" w:cs="Arial"/>
        </w:rPr>
        <w:t xml:space="preserve"> poverty alleviation measure</w:t>
      </w:r>
      <w:r w:rsidR="00AC3516" w:rsidRPr="00AC3516">
        <w:rPr>
          <w:rFonts w:ascii="Arial" w:hAnsi="Arial" w:cs="Arial"/>
        </w:rPr>
        <w:t>s</w:t>
      </w:r>
      <w:r w:rsidR="00927F13" w:rsidRPr="00AC3516">
        <w:rPr>
          <w:rFonts w:ascii="Arial" w:hAnsi="Arial" w:cs="Arial"/>
        </w:rPr>
        <w:t xml:space="preserve"> targeting the largest number of </w:t>
      </w:r>
      <w:r w:rsidR="00AC3516" w:rsidRPr="00AC3516">
        <w:rPr>
          <w:rFonts w:ascii="Arial" w:hAnsi="Arial" w:cs="Arial"/>
        </w:rPr>
        <w:t xml:space="preserve">poor </w:t>
      </w:r>
      <w:r w:rsidR="00927F13" w:rsidRPr="00AC3516">
        <w:rPr>
          <w:rFonts w:ascii="Arial" w:hAnsi="Arial" w:cs="Arial"/>
        </w:rPr>
        <w:t>beneficiaries in comparison to all other grants,</w:t>
      </w:r>
      <w:r w:rsidR="00AC3516" w:rsidRPr="00AC3516">
        <w:rPr>
          <w:rFonts w:ascii="Arial" w:hAnsi="Arial" w:cs="Arial"/>
        </w:rPr>
        <w:t xml:space="preserve"> these grants have</w:t>
      </w:r>
      <w:r w:rsidR="00927F13" w:rsidRPr="00AC3516">
        <w:rPr>
          <w:rFonts w:ascii="Arial" w:hAnsi="Arial" w:cs="Arial"/>
        </w:rPr>
        <w:t xml:space="preserve"> e</w:t>
      </w:r>
      <w:r w:rsidR="00AC3516" w:rsidRPr="00AC3516">
        <w:rPr>
          <w:rFonts w:ascii="Arial" w:hAnsi="Arial" w:cs="Arial"/>
        </w:rPr>
        <w:t xml:space="preserve">nabled the country to achieve </w:t>
      </w:r>
      <w:r w:rsidR="00927F13" w:rsidRPr="00AC3516">
        <w:rPr>
          <w:rFonts w:ascii="Arial" w:hAnsi="Arial" w:cs="Arial"/>
        </w:rPr>
        <w:t>progress in addressing the needs of children</w:t>
      </w:r>
      <w:r w:rsidR="00AC3516" w:rsidRPr="00AC3516">
        <w:rPr>
          <w:rFonts w:ascii="Arial" w:hAnsi="Arial" w:cs="Arial"/>
        </w:rPr>
        <w:t xml:space="preserve"> and older persons</w:t>
      </w:r>
      <w:r w:rsidR="00927F13" w:rsidRPr="00AC3516">
        <w:rPr>
          <w:rFonts w:ascii="Arial" w:hAnsi="Arial" w:cs="Arial"/>
        </w:rPr>
        <w:t xml:space="preserve"> in the household with no or low income. </w:t>
      </w:r>
    </w:p>
    <w:p w:rsidR="00AC3516" w:rsidRPr="00AC3516" w:rsidRDefault="00AC3516" w:rsidP="00AC3516">
      <w:pPr>
        <w:jc w:val="both"/>
        <w:rPr>
          <w:rFonts w:ascii="Arial" w:hAnsi="Arial" w:cs="Arial"/>
        </w:rPr>
      </w:pPr>
    </w:p>
    <w:p w:rsidR="00927F13" w:rsidRPr="00AC3516" w:rsidRDefault="00927F13" w:rsidP="007577B6">
      <w:pPr>
        <w:ind w:left="720"/>
        <w:jc w:val="both"/>
        <w:rPr>
          <w:rFonts w:ascii="Arial" w:hAnsi="Arial" w:cs="Arial"/>
        </w:rPr>
      </w:pPr>
      <w:r w:rsidRPr="00AC3516">
        <w:rPr>
          <w:rFonts w:ascii="Arial" w:hAnsi="Arial" w:cs="Arial"/>
        </w:rPr>
        <w:t xml:space="preserve">However, the promise of basic care for the poorest </w:t>
      </w:r>
      <w:r w:rsidR="007577B6">
        <w:rPr>
          <w:rFonts w:ascii="Arial" w:hAnsi="Arial" w:cs="Arial"/>
        </w:rPr>
        <w:t>older persons</w:t>
      </w:r>
      <w:r w:rsidR="00AC3516" w:rsidRPr="00AC3516">
        <w:rPr>
          <w:rFonts w:ascii="Arial" w:hAnsi="Arial" w:cs="Arial"/>
        </w:rPr>
        <w:t xml:space="preserve"> and </w:t>
      </w:r>
      <w:r w:rsidRPr="00AC3516">
        <w:rPr>
          <w:rFonts w:ascii="Arial" w:hAnsi="Arial" w:cs="Arial"/>
        </w:rPr>
        <w:t xml:space="preserve">children still faces </w:t>
      </w:r>
      <w:r w:rsidR="0022306C">
        <w:rPr>
          <w:rFonts w:ascii="Arial" w:hAnsi="Arial" w:cs="Arial"/>
        </w:rPr>
        <w:t xml:space="preserve">challenges; many are </w:t>
      </w:r>
      <w:r w:rsidR="007577B6">
        <w:rPr>
          <w:rFonts w:ascii="Arial" w:hAnsi="Arial" w:cs="Arial"/>
        </w:rPr>
        <w:t>excluded</w:t>
      </w:r>
      <w:r w:rsidR="0022306C">
        <w:rPr>
          <w:rFonts w:ascii="Arial" w:hAnsi="Arial" w:cs="Arial"/>
        </w:rPr>
        <w:t xml:space="preserve"> due to various reasons including </w:t>
      </w:r>
      <w:r w:rsidR="007577B6">
        <w:rPr>
          <w:rFonts w:ascii="Arial" w:hAnsi="Arial" w:cs="Arial"/>
        </w:rPr>
        <w:t xml:space="preserve">not </w:t>
      </w:r>
      <w:r w:rsidR="0022306C">
        <w:rPr>
          <w:rFonts w:ascii="Arial" w:hAnsi="Arial" w:cs="Arial"/>
        </w:rPr>
        <w:t>having the correct documentation.</w:t>
      </w:r>
      <w:r w:rsidRPr="00AC3516">
        <w:rPr>
          <w:rFonts w:ascii="Arial" w:hAnsi="Arial" w:cs="Arial"/>
        </w:rPr>
        <w:t xml:space="preserve"> While the </w:t>
      </w:r>
      <w:r w:rsidR="00AC3516" w:rsidRPr="00AC3516">
        <w:rPr>
          <w:rFonts w:ascii="Arial" w:hAnsi="Arial" w:cs="Arial"/>
        </w:rPr>
        <w:t>Department</w:t>
      </w:r>
      <w:r w:rsidRPr="00AC3516">
        <w:rPr>
          <w:rFonts w:ascii="Arial" w:hAnsi="Arial" w:cs="Arial"/>
        </w:rPr>
        <w:t xml:space="preserve"> has taken many steps to improve coverage to reach these</w:t>
      </w:r>
      <w:r w:rsidR="00AC3516" w:rsidRPr="00AC3516">
        <w:rPr>
          <w:rFonts w:ascii="Arial" w:hAnsi="Arial" w:cs="Arial"/>
        </w:rPr>
        <w:t xml:space="preserve"> poor beneficiaries</w:t>
      </w:r>
      <w:r w:rsidR="005E65E4">
        <w:rPr>
          <w:rFonts w:ascii="Arial" w:hAnsi="Arial" w:cs="Arial"/>
        </w:rPr>
        <w:t xml:space="preserve"> </w:t>
      </w:r>
      <w:r w:rsidR="00AC3516" w:rsidRPr="00AC3516">
        <w:rPr>
          <w:rFonts w:ascii="Arial" w:hAnsi="Arial" w:cs="Arial"/>
        </w:rPr>
        <w:t xml:space="preserve">in the past five years, </w:t>
      </w:r>
      <w:r w:rsidRPr="00AC3516">
        <w:rPr>
          <w:rFonts w:ascii="Arial" w:hAnsi="Arial" w:cs="Arial"/>
        </w:rPr>
        <w:t>evidence suggests that under-coverage will be effectively reduced by eliminating the means test and enabling all children</w:t>
      </w:r>
      <w:r w:rsidR="00AC3516" w:rsidRPr="00AC3516">
        <w:rPr>
          <w:rFonts w:ascii="Arial" w:hAnsi="Arial" w:cs="Arial"/>
        </w:rPr>
        <w:t xml:space="preserve"> and </w:t>
      </w:r>
      <w:r w:rsidR="007577B6">
        <w:rPr>
          <w:rFonts w:ascii="Arial" w:hAnsi="Arial" w:cs="Arial"/>
        </w:rPr>
        <w:t>older persons</w:t>
      </w:r>
      <w:r w:rsidR="00AC3516" w:rsidRPr="00AC3516">
        <w:rPr>
          <w:rFonts w:ascii="Arial" w:hAnsi="Arial" w:cs="Arial"/>
        </w:rPr>
        <w:t xml:space="preserve"> to access </w:t>
      </w:r>
      <w:r w:rsidR="007577B6">
        <w:rPr>
          <w:rFonts w:ascii="Arial" w:hAnsi="Arial" w:cs="Arial"/>
        </w:rPr>
        <w:t>the</w:t>
      </w:r>
      <w:r w:rsidRPr="00AC3516">
        <w:rPr>
          <w:rFonts w:ascii="Arial" w:hAnsi="Arial" w:cs="Arial"/>
        </w:rPr>
        <w:t xml:space="preserve"> grant</w:t>
      </w:r>
      <w:r w:rsidR="007577B6">
        <w:rPr>
          <w:rFonts w:ascii="Arial" w:hAnsi="Arial" w:cs="Arial"/>
        </w:rPr>
        <w:t>s</w:t>
      </w:r>
      <w:r w:rsidRPr="00AC3516">
        <w:rPr>
          <w:rFonts w:ascii="Arial" w:hAnsi="Arial" w:cs="Arial"/>
        </w:rPr>
        <w:t xml:space="preserve"> with minimum of bureaucratic requirements.</w:t>
      </w:r>
      <w:r w:rsidR="00AC3516" w:rsidRPr="00AC3516">
        <w:rPr>
          <w:rFonts w:ascii="Arial" w:hAnsi="Arial" w:cs="Arial"/>
        </w:rPr>
        <w:t xml:space="preserve"> Furthermore, universal provision</w:t>
      </w:r>
      <w:r w:rsidR="00266009">
        <w:rPr>
          <w:rFonts w:ascii="Arial" w:hAnsi="Arial" w:cs="Arial"/>
        </w:rPr>
        <w:t>s</w:t>
      </w:r>
      <w:r w:rsidR="00AC3516" w:rsidRPr="00AC3516">
        <w:rPr>
          <w:rFonts w:ascii="Arial" w:hAnsi="Arial" w:cs="Arial"/>
        </w:rPr>
        <w:t xml:space="preserve"> will enable many poor children </w:t>
      </w:r>
      <w:r w:rsidR="00266009">
        <w:rPr>
          <w:rFonts w:ascii="Arial" w:hAnsi="Arial" w:cs="Arial"/>
        </w:rPr>
        <w:t>that are</w:t>
      </w:r>
      <w:r w:rsidR="00AC3516" w:rsidRPr="00AC3516">
        <w:rPr>
          <w:rFonts w:ascii="Arial" w:hAnsi="Arial" w:cs="Arial"/>
        </w:rPr>
        <w:t xml:space="preserve"> excluded from the programme to </w:t>
      </w:r>
      <w:r w:rsidR="00AC3516" w:rsidRPr="0022306C">
        <w:rPr>
          <w:rFonts w:ascii="Arial" w:hAnsi="Arial" w:cs="Arial"/>
          <w:lang w:val="en-ZA"/>
        </w:rPr>
        <w:t>realise</w:t>
      </w:r>
      <w:r w:rsidR="00AC3516" w:rsidRPr="00AC3516">
        <w:rPr>
          <w:rFonts w:ascii="Arial" w:hAnsi="Arial" w:cs="Arial"/>
        </w:rPr>
        <w:t xml:space="preserve"> the important developmental impacts that the CSG currently delivers to millions of others. </w:t>
      </w:r>
      <w:r w:rsidRPr="00AC3516">
        <w:rPr>
          <w:rFonts w:ascii="Arial" w:hAnsi="Arial" w:cs="Arial"/>
        </w:rPr>
        <w:t xml:space="preserve">The </w:t>
      </w:r>
      <w:r w:rsidR="00AC3516" w:rsidRPr="00AC3516">
        <w:rPr>
          <w:rFonts w:ascii="Arial" w:hAnsi="Arial" w:cs="Arial"/>
        </w:rPr>
        <w:t xml:space="preserve">Department believes that </w:t>
      </w:r>
      <w:r w:rsidRPr="00AC3516">
        <w:rPr>
          <w:rFonts w:ascii="Arial" w:hAnsi="Arial" w:cs="Arial"/>
        </w:rPr>
        <w:t>universal provision</w:t>
      </w:r>
      <w:r w:rsidR="00AC3516" w:rsidRPr="00AC3516">
        <w:rPr>
          <w:rFonts w:ascii="Arial" w:hAnsi="Arial" w:cs="Arial"/>
        </w:rPr>
        <w:t>s</w:t>
      </w:r>
      <w:r w:rsidRPr="00AC3516">
        <w:rPr>
          <w:rFonts w:ascii="Arial" w:hAnsi="Arial" w:cs="Arial"/>
        </w:rPr>
        <w:t xml:space="preserve"> of the</w:t>
      </w:r>
      <w:r w:rsidR="00AC3516" w:rsidRPr="00AC3516">
        <w:rPr>
          <w:rFonts w:ascii="Arial" w:hAnsi="Arial" w:cs="Arial"/>
        </w:rPr>
        <w:t>se grants</w:t>
      </w:r>
      <w:r w:rsidRPr="00AC3516">
        <w:rPr>
          <w:rFonts w:ascii="Arial" w:hAnsi="Arial" w:cs="Arial"/>
        </w:rPr>
        <w:t xml:space="preserve"> will build national solidarity and reflect a common understanding that South Africans are committed to providing </w:t>
      </w:r>
      <w:r w:rsidR="0098249B">
        <w:rPr>
          <w:rFonts w:ascii="Arial" w:hAnsi="Arial" w:cs="Arial"/>
        </w:rPr>
        <w:t>income support</w:t>
      </w:r>
      <w:r w:rsidR="00AC3516" w:rsidRPr="00AC3516">
        <w:rPr>
          <w:rFonts w:ascii="Arial" w:hAnsi="Arial" w:cs="Arial"/>
        </w:rPr>
        <w:t xml:space="preserve"> to </w:t>
      </w:r>
      <w:r w:rsidR="00266009">
        <w:rPr>
          <w:rFonts w:ascii="Arial" w:hAnsi="Arial" w:cs="Arial"/>
        </w:rPr>
        <w:t>older persons</w:t>
      </w:r>
      <w:r w:rsidR="00AC3516" w:rsidRPr="00AC3516">
        <w:rPr>
          <w:rFonts w:ascii="Arial" w:hAnsi="Arial" w:cs="Arial"/>
        </w:rPr>
        <w:t xml:space="preserve"> and </w:t>
      </w:r>
      <w:r w:rsidR="00266009">
        <w:rPr>
          <w:rFonts w:ascii="Arial" w:hAnsi="Arial" w:cs="Arial"/>
        </w:rPr>
        <w:t xml:space="preserve">provide </w:t>
      </w:r>
      <w:r w:rsidRPr="00AC3516">
        <w:rPr>
          <w:rFonts w:ascii="Arial" w:hAnsi="Arial" w:cs="Arial"/>
        </w:rPr>
        <w:t xml:space="preserve">children </w:t>
      </w:r>
      <w:r w:rsidR="00266009">
        <w:rPr>
          <w:rFonts w:ascii="Arial" w:hAnsi="Arial" w:cs="Arial"/>
        </w:rPr>
        <w:t xml:space="preserve">with </w:t>
      </w:r>
      <w:r w:rsidR="00AC3516" w:rsidRPr="00AC3516">
        <w:rPr>
          <w:rFonts w:ascii="Arial" w:hAnsi="Arial" w:cs="Arial"/>
        </w:rPr>
        <w:t>the</w:t>
      </w:r>
      <w:r w:rsidRPr="00AC3516">
        <w:rPr>
          <w:rFonts w:ascii="Arial" w:hAnsi="Arial" w:cs="Arial"/>
        </w:rPr>
        <w:t xml:space="preserve"> opportunity to develop their full capabilities. </w:t>
      </w:r>
    </w:p>
    <w:p w:rsidR="00927F13" w:rsidRDefault="00927F13" w:rsidP="009835F7">
      <w:pPr>
        <w:ind w:left="720" w:hanging="720"/>
        <w:jc w:val="both"/>
        <w:rPr>
          <w:rFonts w:ascii="Arial" w:hAnsi="Arial" w:cs="Arial"/>
        </w:rPr>
      </w:pPr>
    </w:p>
    <w:p w:rsidR="00927F13" w:rsidRDefault="00927F13" w:rsidP="009835F7">
      <w:pPr>
        <w:ind w:left="720" w:hanging="720"/>
        <w:jc w:val="both"/>
        <w:rPr>
          <w:rFonts w:ascii="Arial" w:hAnsi="Arial" w:cs="Arial"/>
        </w:rPr>
      </w:pPr>
    </w:p>
    <w:p w:rsidR="00B65D80" w:rsidRPr="00B65D80" w:rsidRDefault="00B65D80" w:rsidP="00B65D80">
      <w:pPr>
        <w:spacing w:after="200" w:line="276" w:lineRule="auto"/>
        <w:rPr>
          <w:rFonts w:ascii="Arial" w:hAnsi="Arial" w:cs="Arial"/>
        </w:rPr>
      </w:pPr>
    </w:p>
    <w:sectPr w:rsidR="00B65D80" w:rsidRPr="00B65D80" w:rsidSect="0044672E">
      <w:footerReference w:type="default" r:id="rId7"/>
      <w:pgSz w:w="11906" w:h="16838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BC" w:rsidRDefault="003134BC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3134BC" w:rsidRDefault="003134BC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6C" w:rsidRPr="00AD0E2F" w:rsidRDefault="0022536C">
    <w:pPr>
      <w:pStyle w:val="Footer"/>
      <w:jc w:val="center"/>
      <w:rPr>
        <w:rFonts w:ascii="Arial" w:hAnsi="Arial" w:cs="Arial"/>
      </w:rPr>
    </w:pPr>
    <w:r w:rsidRPr="00AD0E2F">
      <w:rPr>
        <w:rFonts w:ascii="Arial" w:hAnsi="Arial" w:cs="Arial"/>
      </w:rPr>
      <w:fldChar w:fldCharType="begin"/>
    </w:r>
    <w:r w:rsidRPr="00AD0E2F">
      <w:rPr>
        <w:rFonts w:ascii="Arial" w:hAnsi="Arial" w:cs="Arial"/>
      </w:rPr>
      <w:instrText xml:space="preserve"> PAGE   \* MERGEFORMAT </w:instrText>
    </w:r>
    <w:r w:rsidRPr="00AD0E2F">
      <w:rPr>
        <w:rFonts w:ascii="Arial" w:hAnsi="Arial" w:cs="Arial"/>
      </w:rPr>
      <w:fldChar w:fldCharType="separate"/>
    </w:r>
    <w:r w:rsidR="00F969F9">
      <w:rPr>
        <w:rFonts w:ascii="Arial" w:hAnsi="Arial" w:cs="Arial"/>
        <w:noProof/>
      </w:rPr>
      <w:t>1</w:t>
    </w:r>
    <w:r w:rsidRPr="00AD0E2F">
      <w:rPr>
        <w:rFonts w:ascii="Arial" w:hAnsi="Arial" w:cs="Arial"/>
      </w:rPr>
      <w:fldChar w:fldCharType="end"/>
    </w:r>
  </w:p>
  <w:p w:rsidR="0022536C" w:rsidRDefault="002253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BC" w:rsidRDefault="003134BC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3134BC" w:rsidRDefault="003134BC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33763"/>
    <w:multiLevelType w:val="hybridMultilevel"/>
    <w:tmpl w:val="3DB4B51E"/>
    <w:lvl w:ilvl="0" w:tplc="CF268F12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34194"/>
    <w:multiLevelType w:val="hybridMultilevel"/>
    <w:tmpl w:val="D1B24B28"/>
    <w:lvl w:ilvl="0" w:tplc="966AC46A">
      <w:start w:val="1"/>
      <w:numFmt w:val="decimal"/>
      <w:lvlText w:val="(%1)"/>
      <w:lvlJc w:val="left"/>
      <w:pPr>
        <w:ind w:left="2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10" w:hanging="360"/>
      </w:pPr>
    </w:lvl>
    <w:lvl w:ilvl="2" w:tplc="0409001B" w:tentative="1">
      <w:start w:val="1"/>
      <w:numFmt w:val="lowerRoman"/>
      <w:lvlText w:val="%3."/>
      <w:lvlJc w:val="right"/>
      <w:pPr>
        <w:ind w:left="4430" w:hanging="180"/>
      </w:pPr>
    </w:lvl>
    <w:lvl w:ilvl="3" w:tplc="0409000F" w:tentative="1">
      <w:start w:val="1"/>
      <w:numFmt w:val="decimal"/>
      <w:lvlText w:val="%4."/>
      <w:lvlJc w:val="left"/>
      <w:pPr>
        <w:ind w:left="5150" w:hanging="360"/>
      </w:pPr>
    </w:lvl>
    <w:lvl w:ilvl="4" w:tplc="04090019" w:tentative="1">
      <w:start w:val="1"/>
      <w:numFmt w:val="lowerLetter"/>
      <w:lvlText w:val="%5."/>
      <w:lvlJc w:val="left"/>
      <w:pPr>
        <w:ind w:left="5870" w:hanging="360"/>
      </w:pPr>
    </w:lvl>
    <w:lvl w:ilvl="5" w:tplc="0409001B" w:tentative="1">
      <w:start w:val="1"/>
      <w:numFmt w:val="lowerRoman"/>
      <w:lvlText w:val="%6."/>
      <w:lvlJc w:val="right"/>
      <w:pPr>
        <w:ind w:left="6590" w:hanging="180"/>
      </w:pPr>
    </w:lvl>
    <w:lvl w:ilvl="6" w:tplc="0409000F" w:tentative="1">
      <w:start w:val="1"/>
      <w:numFmt w:val="decimal"/>
      <w:lvlText w:val="%7."/>
      <w:lvlJc w:val="left"/>
      <w:pPr>
        <w:ind w:left="7310" w:hanging="360"/>
      </w:pPr>
    </w:lvl>
    <w:lvl w:ilvl="7" w:tplc="04090019" w:tentative="1">
      <w:start w:val="1"/>
      <w:numFmt w:val="lowerLetter"/>
      <w:lvlText w:val="%8."/>
      <w:lvlJc w:val="left"/>
      <w:pPr>
        <w:ind w:left="8030" w:hanging="360"/>
      </w:pPr>
    </w:lvl>
    <w:lvl w:ilvl="8" w:tplc="0409001B" w:tentative="1">
      <w:start w:val="1"/>
      <w:numFmt w:val="lowerRoman"/>
      <w:lvlText w:val="%9."/>
      <w:lvlJc w:val="right"/>
      <w:pPr>
        <w:ind w:left="8750" w:hanging="180"/>
      </w:pPr>
    </w:lvl>
  </w:abstractNum>
  <w:abstractNum w:abstractNumId="3">
    <w:nsid w:val="39E662E1"/>
    <w:multiLevelType w:val="hybridMultilevel"/>
    <w:tmpl w:val="0D54D2D8"/>
    <w:lvl w:ilvl="0" w:tplc="D1D222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B4A8B"/>
    <w:multiLevelType w:val="hybridMultilevel"/>
    <w:tmpl w:val="3DB4B51E"/>
    <w:lvl w:ilvl="0" w:tplc="CF268F12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512978"/>
    <w:multiLevelType w:val="hybridMultilevel"/>
    <w:tmpl w:val="D474E6E2"/>
    <w:lvl w:ilvl="0" w:tplc="0174F7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13EB"/>
    <w:multiLevelType w:val="hybridMultilevel"/>
    <w:tmpl w:val="D1B24B28"/>
    <w:lvl w:ilvl="0" w:tplc="966AC4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C530A"/>
    <w:rsid w:val="00007FA0"/>
    <w:rsid w:val="00016F88"/>
    <w:rsid w:val="00020678"/>
    <w:rsid w:val="000309CB"/>
    <w:rsid w:val="000319CF"/>
    <w:rsid w:val="0003614A"/>
    <w:rsid w:val="00041C1B"/>
    <w:rsid w:val="00041E55"/>
    <w:rsid w:val="000447DC"/>
    <w:rsid w:val="00044B93"/>
    <w:rsid w:val="00046001"/>
    <w:rsid w:val="00050A95"/>
    <w:rsid w:val="00056947"/>
    <w:rsid w:val="00063E2D"/>
    <w:rsid w:val="00071B4F"/>
    <w:rsid w:val="0007332A"/>
    <w:rsid w:val="000767CE"/>
    <w:rsid w:val="00076B73"/>
    <w:rsid w:val="00077662"/>
    <w:rsid w:val="000809FA"/>
    <w:rsid w:val="00083BCC"/>
    <w:rsid w:val="000913F5"/>
    <w:rsid w:val="00093D28"/>
    <w:rsid w:val="000A1CD0"/>
    <w:rsid w:val="000A53E7"/>
    <w:rsid w:val="000A5B05"/>
    <w:rsid w:val="000B6A6C"/>
    <w:rsid w:val="000C2FE3"/>
    <w:rsid w:val="000D01D1"/>
    <w:rsid w:val="000D0C09"/>
    <w:rsid w:val="000E299C"/>
    <w:rsid w:val="000F53DD"/>
    <w:rsid w:val="00100396"/>
    <w:rsid w:val="001013DB"/>
    <w:rsid w:val="001047A1"/>
    <w:rsid w:val="00106074"/>
    <w:rsid w:val="00106228"/>
    <w:rsid w:val="00110A8E"/>
    <w:rsid w:val="0011673A"/>
    <w:rsid w:val="00121581"/>
    <w:rsid w:val="00126964"/>
    <w:rsid w:val="00134FE5"/>
    <w:rsid w:val="00141D05"/>
    <w:rsid w:val="001467A0"/>
    <w:rsid w:val="001528FA"/>
    <w:rsid w:val="00156F66"/>
    <w:rsid w:val="0016369E"/>
    <w:rsid w:val="001672D9"/>
    <w:rsid w:val="00172935"/>
    <w:rsid w:val="00177CE3"/>
    <w:rsid w:val="00181D89"/>
    <w:rsid w:val="00184107"/>
    <w:rsid w:val="001861ED"/>
    <w:rsid w:val="001943C1"/>
    <w:rsid w:val="00196E23"/>
    <w:rsid w:val="001A15D4"/>
    <w:rsid w:val="001A289B"/>
    <w:rsid w:val="001A6B1B"/>
    <w:rsid w:val="001B59EA"/>
    <w:rsid w:val="001B71CD"/>
    <w:rsid w:val="001C3D0C"/>
    <w:rsid w:val="001C530A"/>
    <w:rsid w:val="001C628B"/>
    <w:rsid w:val="001D177F"/>
    <w:rsid w:val="001D1BEB"/>
    <w:rsid w:val="001D3B46"/>
    <w:rsid w:val="001E7057"/>
    <w:rsid w:val="001F0B35"/>
    <w:rsid w:val="002013D1"/>
    <w:rsid w:val="002056EF"/>
    <w:rsid w:val="00213C47"/>
    <w:rsid w:val="002155A9"/>
    <w:rsid w:val="00220D7E"/>
    <w:rsid w:val="00220F4A"/>
    <w:rsid w:val="0022306C"/>
    <w:rsid w:val="00223686"/>
    <w:rsid w:val="0022536C"/>
    <w:rsid w:val="00227731"/>
    <w:rsid w:val="002312E8"/>
    <w:rsid w:val="00232D3E"/>
    <w:rsid w:val="002335C6"/>
    <w:rsid w:val="002364A0"/>
    <w:rsid w:val="0024019E"/>
    <w:rsid w:val="00241B57"/>
    <w:rsid w:val="00241F51"/>
    <w:rsid w:val="002425FF"/>
    <w:rsid w:val="002503B1"/>
    <w:rsid w:val="002512A5"/>
    <w:rsid w:val="002568AE"/>
    <w:rsid w:val="00261CBB"/>
    <w:rsid w:val="00266009"/>
    <w:rsid w:val="00272DF5"/>
    <w:rsid w:val="00285A9F"/>
    <w:rsid w:val="00290735"/>
    <w:rsid w:val="00290C13"/>
    <w:rsid w:val="00292DEE"/>
    <w:rsid w:val="002963B5"/>
    <w:rsid w:val="002A042D"/>
    <w:rsid w:val="002A2A3B"/>
    <w:rsid w:val="002A490B"/>
    <w:rsid w:val="002A763F"/>
    <w:rsid w:val="002B63A0"/>
    <w:rsid w:val="002C23D2"/>
    <w:rsid w:val="002D1EF7"/>
    <w:rsid w:val="002D33B3"/>
    <w:rsid w:val="002D359B"/>
    <w:rsid w:val="002E7CD1"/>
    <w:rsid w:val="002F1C6E"/>
    <w:rsid w:val="002F468E"/>
    <w:rsid w:val="002F6EB9"/>
    <w:rsid w:val="00301C7D"/>
    <w:rsid w:val="00302974"/>
    <w:rsid w:val="003134BC"/>
    <w:rsid w:val="0031485E"/>
    <w:rsid w:val="003156B0"/>
    <w:rsid w:val="00316A4F"/>
    <w:rsid w:val="00317CEC"/>
    <w:rsid w:val="003200FE"/>
    <w:rsid w:val="00321EF8"/>
    <w:rsid w:val="00325510"/>
    <w:rsid w:val="00325522"/>
    <w:rsid w:val="00340EDC"/>
    <w:rsid w:val="003416FE"/>
    <w:rsid w:val="00344F8C"/>
    <w:rsid w:val="00353BBD"/>
    <w:rsid w:val="00362F4B"/>
    <w:rsid w:val="003822C1"/>
    <w:rsid w:val="00390271"/>
    <w:rsid w:val="003929E8"/>
    <w:rsid w:val="003A1598"/>
    <w:rsid w:val="003A38CE"/>
    <w:rsid w:val="003A7E2D"/>
    <w:rsid w:val="003B1796"/>
    <w:rsid w:val="003B1D19"/>
    <w:rsid w:val="003B1E74"/>
    <w:rsid w:val="003B4DC7"/>
    <w:rsid w:val="003B5547"/>
    <w:rsid w:val="003C136E"/>
    <w:rsid w:val="003E1F89"/>
    <w:rsid w:val="003E31CC"/>
    <w:rsid w:val="003F1C15"/>
    <w:rsid w:val="003F4A57"/>
    <w:rsid w:val="004042DC"/>
    <w:rsid w:val="0041256A"/>
    <w:rsid w:val="00414889"/>
    <w:rsid w:val="004160D0"/>
    <w:rsid w:val="0044098C"/>
    <w:rsid w:val="00441AC5"/>
    <w:rsid w:val="00444073"/>
    <w:rsid w:val="0044672E"/>
    <w:rsid w:val="004541D9"/>
    <w:rsid w:val="00455236"/>
    <w:rsid w:val="00455E95"/>
    <w:rsid w:val="00470806"/>
    <w:rsid w:val="00470939"/>
    <w:rsid w:val="00476A76"/>
    <w:rsid w:val="004805B9"/>
    <w:rsid w:val="004814AF"/>
    <w:rsid w:val="00481B1D"/>
    <w:rsid w:val="00485FC1"/>
    <w:rsid w:val="004865BE"/>
    <w:rsid w:val="0048713A"/>
    <w:rsid w:val="004A18DD"/>
    <w:rsid w:val="004A67F7"/>
    <w:rsid w:val="004B3C7F"/>
    <w:rsid w:val="004B718D"/>
    <w:rsid w:val="004C3452"/>
    <w:rsid w:val="004C7C65"/>
    <w:rsid w:val="004D03CF"/>
    <w:rsid w:val="004D0CC3"/>
    <w:rsid w:val="004D1A2F"/>
    <w:rsid w:val="004D458F"/>
    <w:rsid w:val="004E362D"/>
    <w:rsid w:val="004F0158"/>
    <w:rsid w:val="004F56D9"/>
    <w:rsid w:val="004F7427"/>
    <w:rsid w:val="0050056C"/>
    <w:rsid w:val="005028C2"/>
    <w:rsid w:val="0050333C"/>
    <w:rsid w:val="005054DB"/>
    <w:rsid w:val="00507551"/>
    <w:rsid w:val="005129AE"/>
    <w:rsid w:val="0051601B"/>
    <w:rsid w:val="0051665E"/>
    <w:rsid w:val="0052322E"/>
    <w:rsid w:val="00524ACD"/>
    <w:rsid w:val="005253C4"/>
    <w:rsid w:val="0053130A"/>
    <w:rsid w:val="00536642"/>
    <w:rsid w:val="00540D3D"/>
    <w:rsid w:val="005467F3"/>
    <w:rsid w:val="005471B2"/>
    <w:rsid w:val="00556627"/>
    <w:rsid w:val="005573A3"/>
    <w:rsid w:val="0056223B"/>
    <w:rsid w:val="00563151"/>
    <w:rsid w:val="00573E47"/>
    <w:rsid w:val="00585F01"/>
    <w:rsid w:val="00586D2F"/>
    <w:rsid w:val="00587D52"/>
    <w:rsid w:val="0059175A"/>
    <w:rsid w:val="00592AEE"/>
    <w:rsid w:val="005A28F6"/>
    <w:rsid w:val="005A3755"/>
    <w:rsid w:val="005B1389"/>
    <w:rsid w:val="005B667D"/>
    <w:rsid w:val="005B7EE3"/>
    <w:rsid w:val="005D0FA6"/>
    <w:rsid w:val="005D157B"/>
    <w:rsid w:val="005D2256"/>
    <w:rsid w:val="005D4057"/>
    <w:rsid w:val="005E16FE"/>
    <w:rsid w:val="005E65E4"/>
    <w:rsid w:val="005F2FEE"/>
    <w:rsid w:val="005F5325"/>
    <w:rsid w:val="00613129"/>
    <w:rsid w:val="006145F2"/>
    <w:rsid w:val="006161D9"/>
    <w:rsid w:val="006206E7"/>
    <w:rsid w:val="0062184C"/>
    <w:rsid w:val="00622B38"/>
    <w:rsid w:val="00630B0B"/>
    <w:rsid w:val="00633596"/>
    <w:rsid w:val="00636513"/>
    <w:rsid w:val="00640D69"/>
    <w:rsid w:val="006420D8"/>
    <w:rsid w:val="0064536A"/>
    <w:rsid w:val="00646029"/>
    <w:rsid w:val="00652FEE"/>
    <w:rsid w:val="0065474C"/>
    <w:rsid w:val="006633DC"/>
    <w:rsid w:val="0066548A"/>
    <w:rsid w:val="00672034"/>
    <w:rsid w:val="00677C9F"/>
    <w:rsid w:val="006801C3"/>
    <w:rsid w:val="00681C54"/>
    <w:rsid w:val="00683199"/>
    <w:rsid w:val="00684C48"/>
    <w:rsid w:val="006930AB"/>
    <w:rsid w:val="00694B46"/>
    <w:rsid w:val="00696D7F"/>
    <w:rsid w:val="00697323"/>
    <w:rsid w:val="006A63EA"/>
    <w:rsid w:val="006B0FC2"/>
    <w:rsid w:val="006C6F53"/>
    <w:rsid w:val="006D0276"/>
    <w:rsid w:val="006D09F5"/>
    <w:rsid w:val="006E7D27"/>
    <w:rsid w:val="006F15C6"/>
    <w:rsid w:val="006F1920"/>
    <w:rsid w:val="006F2000"/>
    <w:rsid w:val="006F475C"/>
    <w:rsid w:val="006F5C3B"/>
    <w:rsid w:val="00706FD1"/>
    <w:rsid w:val="007144A6"/>
    <w:rsid w:val="007205A5"/>
    <w:rsid w:val="00730082"/>
    <w:rsid w:val="00740B4A"/>
    <w:rsid w:val="00743D6D"/>
    <w:rsid w:val="0075234E"/>
    <w:rsid w:val="00753235"/>
    <w:rsid w:val="00753DE3"/>
    <w:rsid w:val="00754648"/>
    <w:rsid w:val="007577B6"/>
    <w:rsid w:val="00761F00"/>
    <w:rsid w:val="00762389"/>
    <w:rsid w:val="00774163"/>
    <w:rsid w:val="0077512D"/>
    <w:rsid w:val="0078213D"/>
    <w:rsid w:val="007831B8"/>
    <w:rsid w:val="007905A6"/>
    <w:rsid w:val="00793043"/>
    <w:rsid w:val="007A042F"/>
    <w:rsid w:val="007B196F"/>
    <w:rsid w:val="007B2622"/>
    <w:rsid w:val="007B3244"/>
    <w:rsid w:val="007B5709"/>
    <w:rsid w:val="007C2E5D"/>
    <w:rsid w:val="007C2F1F"/>
    <w:rsid w:val="007C510F"/>
    <w:rsid w:val="007C6E78"/>
    <w:rsid w:val="007C7310"/>
    <w:rsid w:val="007C7356"/>
    <w:rsid w:val="007D4259"/>
    <w:rsid w:val="007D506A"/>
    <w:rsid w:val="007E30B5"/>
    <w:rsid w:val="007F303B"/>
    <w:rsid w:val="00802EB7"/>
    <w:rsid w:val="00804E20"/>
    <w:rsid w:val="00806B20"/>
    <w:rsid w:val="00811927"/>
    <w:rsid w:val="00816285"/>
    <w:rsid w:val="0082769C"/>
    <w:rsid w:val="00830D9E"/>
    <w:rsid w:val="00830DF1"/>
    <w:rsid w:val="00842ABB"/>
    <w:rsid w:val="00846EB5"/>
    <w:rsid w:val="008474FA"/>
    <w:rsid w:val="008505D8"/>
    <w:rsid w:val="008634D0"/>
    <w:rsid w:val="008732A6"/>
    <w:rsid w:val="0087570D"/>
    <w:rsid w:val="00880E9C"/>
    <w:rsid w:val="00880F6B"/>
    <w:rsid w:val="00882009"/>
    <w:rsid w:val="008839B1"/>
    <w:rsid w:val="008861F9"/>
    <w:rsid w:val="00891BA1"/>
    <w:rsid w:val="008965FD"/>
    <w:rsid w:val="008969CD"/>
    <w:rsid w:val="008B31B6"/>
    <w:rsid w:val="008B7AD9"/>
    <w:rsid w:val="008B7BE8"/>
    <w:rsid w:val="008C71E9"/>
    <w:rsid w:val="008E72DF"/>
    <w:rsid w:val="008F5AAD"/>
    <w:rsid w:val="008F7080"/>
    <w:rsid w:val="0090652A"/>
    <w:rsid w:val="00917FC9"/>
    <w:rsid w:val="0092574E"/>
    <w:rsid w:val="00927F13"/>
    <w:rsid w:val="00930EA5"/>
    <w:rsid w:val="00930ED3"/>
    <w:rsid w:val="0093288B"/>
    <w:rsid w:val="00944537"/>
    <w:rsid w:val="0095044F"/>
    <w:rsid w:val="009560AC"/>
    <w:rsid w:val="00961A8A"/>
    <w:rsid w:val="00967E7E"/>
    <w:rsid w:val="009721CF"/>
    <w:rsid w:val="009728FF"/>
    <w:rsid w:val="009730F6"/>
    <w:rsid w:val="00980E3A"/>
    <w:rsid w:val="0098249B"/>
    <w:rsid w:val="00983306"/>
    <w:rsid w:val="009835F7"/>
    <w:rsid w:val="009868A5"/>
    <w:rsid w:val="00990C2E"/>
    <w:rsid w:val="00996817"/>
    <w:rsid w:val="009B0018"/>
    <w:rsid w:val="009D5491"/>
    <w:rsid w:val="009F0795"/>
    <w:rsid w:val="009F56A7"/>
    <w:rsid w:val="00A04D06"/>
    <w:rsid w:val="00A062C0"/>
    <w:rsid w:val="00A07492"/>
    <w:rsid w:val="00A17042"/>
    <w:rsid w:val="00A17E29"/>
    <w:rsid w:val="00A23990"/>
    <w:rsid w:val="00A302A9"/>
    <w:rsid w:val="00A356B4"/>
    <w:rsid w:val="00A43BE3"/>
    <w:rsid w:val="00A51125"/>
    <w:rsid w:val="00A52D9F"/>
    <w:rsid w:val="00A543D3"/>
    <w:rsid w:val="00A552F3"/>
    <w:rsid w:val="00A57275"/>
    <w:rsid w:val="00A64519"/>
    <w:rsid w:val="00A75C00"/>
    <w:rsid w:val="00A81FAE"/>
    <w:rsid w:val="00A841DC"/>
    <w:rsid w:val="00A91D40"/>
    <w:rsid w:val="00A9617B"/>
    <w:rsid w:val="00AB0313"/>
    <w:rsid w:val="00AB3B4E"/>
    <w:rsid w:val="00AB6A7E"/>
    <w:rsid w:val="00AC2F57"/>
    <w:rsid w:val="00AC3516"/>
    <w:rsid w:val="00AC611D"/>
    <w:rsid w:val="00AD0E2F"/>
    <w:rsid w:val="00AD5461"/>
    <w:rsid w:val="00AE08AB"/>
    <w:rsid w:val="00AE149A"/>
    <w:rsid w:val="00AE37FF"/>
    <w:rsid w:val="00AE435E"/>
    <w:rsid w:val="00AF1111"/>
    <w:rsid w:val="00AF3AF5"/>
    <w:rsid w:val="00AF3DE8"/>
    <w:rsid w:val="00B00586"/>
    <w:rsid w:val="00B005DE"/>
    <w:rsid w:val="00B06CBB"/>
    <w:rsid w:val="00B10541"/>
    <w:rsid w:val="00B113F3"/>
    <w:rsid w:val="00B129A8"/>
    <w:rsid w:val="00B16E95"/>
    <w:rsid w:val="00B20845"/>
    <w:rsid w:val="00B21726"/>
    <w:rsid w:val="00B21EEC"/>
    <w:rsid w:val="00B34EF8"/>
    <w:rsid w:val="00B36EF2"/>
    <w:rsid w:val="00B37043"/>
    <w:rsid w:val="00B373EC"/>
    <w:rsid w:val="00B420AD"/>
    <w:rsid w:val="00B42BAC"/>
    <w:rsid w:val="00B44DE8"/>
    <w:rsid w:val="00B46CDF"/>
    <w:rsid w:val="00B47883"/>
    <w:rsid w:val="00B52CEF"/>
    <w:rsid w:val="00B52E0D"/>
    <w:rsid w:val="00B64914"/>
    <w:rsid w:val="00B65D80"/>
    <w:rsid w:val="00B729DC"/>
    <w:rsid w:val="00B80DA6"/>
    <w:rsid w:val="00B82F9D"/>
    <w:rsid w:val="00BA71EC"/>
    <w:rsid w:val="00BB21CD"/>
    <w:rsid w:val="00BE2D56"/>
    <w:rsid w:val="00BE2EE0"/>
    <w:rsid w:val="00BE69C9"/>
    <w:rsid w:val="00BE7DEF"/>
    <w:rsid w:val="00BF1A93"/>
    <w:rsid w:val="00BF61CE"/>
    <w:rsid w:val="00C05D1E"/>
    <w:rsid w:val="00C12250"/>
    <w:rsid w:val="00C12F42"/>
    <w:rsid w:val="00C15569"/>
    <w:rsid w:val="00C15A09"/>
    <w:rsid w:val="00C1665E"/>
    <w:rsid w:val="00C20BBC"/>
    <w:rsid w:val="00C25C83"/>
    <w:rsid w:val="00C277D1"/>
    <w:rsid w:val="00C32896"/>
    <w:rsid w:val="00C33F8F"/>
    <w:rsid w:val="00C500A3"/>
    <w:rsid w:val="00C54516"/>
    <w:rsid w:val="00C5454E"/>
    <w:rsid w:val="00C767DA"/>
    <w:rsid w:val="00C9018B"/>
    <w:rsid w:val="00CA0A11"/>
    <w:rsid w:val="00CA2A72"/>
    <w:rsid w:val="00CA4722"/>
    <w:rsid w:val="00CB17E1"/>
    <w:rsid w:val="00CB3908"/>
    <w:rsid w:val="00CC53E3"/>
    <w:rsid w:val="00CC5523"/>
    <w:rsid w:val="00CC690D"/>
    <w:rsid w:val="00CD17CC"/>
    <w:rsid w:val="00CD3EDB"/>
    <w:rsid w:val="00CE3C26"/>
    <w:rsid w:val="00CF10C0"/>
    <w:rsid w:val="00CF556A"/>
    <w:rsid w:val="00CF6007"/>
    <w:rsid w:val="00D00940"/>
    <w:rsid w:val="00D05992"/>
    <w:rsid w:val="00D05DBB"/>
    <w:rsid w:val="00D067BD"/>
    <w:rsid w:val="00D10CB6"/>
    <w:rsid w:val="00D12E22"/>
    <w:rsid w:val="00D13BEF"/>
    <w:rsid w:val="00D15D51"/>
    <w:rsid w:val="00D179D7"/>
    <w:rsid w:val="00D213E3"/>
    <w:rsid w:val="00D21AC4"/>
    <w:rsid w:val="00D2329D"/>
    <w:rsid w:val="00D253E7"/>
    <w:rsid w:val="00D31C2F"/>
    <w:rsid w:val="00D331D0"/>
    <w:rsid w:val="00D341B6"/>
    <w:rsid w:val="00D36161"/>
    <w:rsid w:val="00D36E1F"/>
    <w:rsid w:val="00D371A5"/>
    <w:rsid w:val="00D40104"/>
    <w:rsid w:val="00D4199C"/>
    <w:rsid w:val="00D44B05"/>
    <w:rsid w:val="00D52147"/>
    <w:rsid w:val="00D660DE"/>
    <w:rsid w:val="00D74253"/>
    <w:rsid w:val="00D7452D"/>
    <w:rsid w:val="00D758C1"/>
    <w:rsid w:val="00D766FB"/>
    <w:rsid w:val="00D96621"/>
    <w:rsid w:val="00D97C86"/>
    <w:rsid w:val="00DA129F"/>
    <w:rsid w:val="00DA2F59"/>
    <w:rsid w:val="00DA6E1B"/>
    <w:rsid w:val="00DB198C"/>
    <w:rsid w:val="00DB2980"/>
    <w:rsid w:val="00DB6D5C"/>
    <w:rsid w:val="00DC5FAB"/>
    <w:rsid w:val="00DC6F28"/>
    <w:rsid w:val="00DD1BE8"/>
    <w:rsid w:val="00DD3F25"/>
    <w:rsid w:val="00DE6061"/>
    <w:rsid w:val="00DF136A"/>
    <w:rsid w:val="00DF1683"/>
    <w:rsid w:val="00DF3027"/>
    <w:rsid w:val="00E02B3D"/>
    <w:rsid w:val="00E12A8E"/>
    <w:rsid w:val="00E138E9"/>
    <w:rsid w:val="00E20FD3"/>
    <w:rsid w:val="00E24A6A"/>
    <w:rsid w:val="00E25B41"/>
    <w:rsid w:val="00E310B6"/>
    <w:rsid w:val="00E31A30"/>
    <w:rsid w:val="00E432F6"/>
    <w:rsid w:val="00E6392C"/>
    <w:rsid w:val="00E67FED"/>
    <w:rsid w:val="00E73E11"/>
    <w:rsid w:val="00E76FED"/>
    <w:rsid w:val="00E81EC8"/>
    <w:rsid w:val="00E825AA"/>
    <w:rsid w:val="00E82C8A"/>
    <w:rsid w:val="00E83D54"/>
    <w:rsid w:val="00E86800"/>
    <w:rsid w:val="00E91042"/>
    <w:rsid w:val="00E9312B"/>
    <w:rsid w:val="00EA1968"/>
    <w:rsid w:val="00EA7A9C"/>
    <w:rsid w:val="00EB02F3"/>
    <w:rsid w:val="00EB3754"/>
    <w:rsid w:val="00EC6080"/>
    <w:rsid w:val="00EC6AB7"/>
    <w:rsid w:val="00ED50F4"/>
    <w:rsid w:val="00EE1360"/>
    <w:rsid w:val="00EF00C1"/>
    <w:rsid w:val="00EF5FE0"/>
    <w:rsid w:val="00EF647E"/>
    <w:rsid w:val="00F02646"/>
    <w:rsid w:val="00F04790"/>
    <w:rsid w:val="00F1289F"/>
    <w:rsid w:val="00F17EDF"/>
    <w:rsid w:val="00F33995"/>
    <w:rsid w:val="00F35DF3"/>
    <w:rsid w:val="00F36008"/>
    <w:rsid w:val="00F3615D"/>
    <w:rsid w:val="00F436B9"/>
    <w:rsid w:val="00F44A28"/>
    <w:rsid w:val="00F515A2"/>
    <w:rsid w:val="00F5751C"/>
    <w:rsid w:val="00F579D1"/>
    <w:rsid w:val="00F61FD5"/>
    <w:rsid w:val="00F736C3"/>
    <w:rsid w:val="00F760BE"/>
    <w:rsid w:val="00F83B70"/>
    <w:rsid w:val="00F94740"/>
    <w:rsid w:val="00F969F9"/>
    <w:rsid w:val="00F977BA"/>
    <w:rsid w:val="00FA2E79"/>
    <w:rsid w:val="00FA7AEF"/>
    <w:rsid w:val="00FB0ADD"/>
    <w:rsid w:val="00FB1D2C"/>
    <w:rsid w:val="00FB4987"/>
    <w:rsid w:val="00FD6568"/>
    <w:rsid w:val="00FE130C"/>
    <w:rsid w:val="00FE2633"/>
    <w:rsid w:val="00FE7A24"/>
    <w:rsid w:val="00FF25EB"/>
    <w:rsid w:val="00FF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7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44F8C"/>
    <w:pPr>
      <w:keepNext/>
      <w:outlineLvl w:val="6"/>
    </w:pPr>
    <w:rPr>
      <w:rFonts w:ascii="Arial" w:hAnsi="Arial"/>
      <w:b/>
      <w:sz w:val="36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3A38CE"/>
    <w:rPr>
      <w:color w:val="0000FF"/>
      <w:u w:val="single"/>
    </w:rPr>
  </w:style>
  <w:style w:type="table" w:styleId="TableGrid">
    <w:name w:val="Table Grid"/>
    <w:basedOn w:val="TableNormal"/>
    <w:uiPriority w:val="59"/>
    <w:rsid w:val="003A38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Title">
    <w:name w:val="Title"/>
    <w:basedOn w:val="Normal"/>
    <w:link w:val="TitleChar"/>
    <w:qFormat/>
    <w:rsid w:val="00A51125"/>
    <w:pPr>
      <w:spacing w:line="360" w:lineRule="auto"/>
      <w:jc w:val="center"/>
    </w:pPr>
    <w:rPr>
      <w:rFonts w:ascii="Monotype Corsiva" w:hAnsi="Monotype Corsiva"/>
      <w:b/>
      <w:bCs/>
      <w:sz w:val="36"/>
      <w:u w:val="single"/>
      <w:lang w:val="en-ZA"/>
    </w:rPr>
  </w:style>
  <w:style w:type="character" w:customStyle="1" w:styleId="TitleChar">
    <w:name w:val="Title Char"/>
    <w:link w:val="Title"/>
    <w:rsid w:val="00A51125"/>
    <w:rPr>
      <w:rFonts w:ascii="Monotype Corsiva" w:eastAsia="Times New Roman" w:hAnsi="Monotype Corsiva" w:cs="Times New Roman"/>
      <w:b/>
      <w:bCs/>
      <w:sz w:val="36"/>
      <w:szCs w:val="24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51125"/>
    <w:pPr>
      <w:spacing w:after="120"/>
    </w:pPr>
  </w:style>
  <w:style w:type="character" w:customStyle="1" w:styleId="BodyTextChar">
    <w:name w:val="Body Text Char"/>
    <w:link w:val="BodyText"/>
    <w:uiPriority w:val="99"/>
    <w:rsid w:val="00A5112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link w:val="Heading7"/>
    <w:semiHidden/>
    <w:rsid w:val="00344F8C"/>
    <w:rPr>
      <w:rFonts w:ascii="Arial" w:eastAsia="Times New Roman" w:hAnsi="Arial" w:cs="Times New Roman"/>
      <w:b/>
      <w:sz w:val="36"/>
      <w:szCs w:val="24"/>
    </w:rPr>
  </w:style>
  <w:style w:type="character" w:customStyle="1" w:styleId="Heading1Char">
    <w:name w:val="Heading 1 Char"/>
    <w:link w:val="Heading1"/>
    <w:uiPriority w:val="9"/>
    <w:rsid w:val="0044672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EngenasS</dc:creator>
  <cp:lastModifiedBy>PUMZA</cp:lastModifiedBy>
  <cp:revision>2</cp:revision>
  <cp:lastPrinted>2016-05-12T10:21:00Z</cp:lastPrinted>
  <dcterms:created xsi:type="dcterms:W3CDTF">2016-06-20T10:14:00Z</dcterms:created>
  <dcterms:modified xsi:type="dcterms:W3CDTF">2016-06-20T10:14:00Z</dcterms:modified>
</cp:coreProperties>
</file>