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CC6497">
        <w:rPr>
          <w:b/>
          <w:bCs/>
          <w:sz w:val="24"/>
          <w:u w:val="single"/>
        </w:rPr>
        <w:t>2</w:t>
      </w:r>
      <w:r w:rsidR="007005DC">
        <w:rPr>
          <w:b/>
          <w:bCs/>
          <w:sz w:val="24"/>
          <w:u w:val="single"/>
        </w:rPr>
        <w:t>7</w:t>
      </w:r>
      <w:r w:rsidR="009D129D">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C6497">
        <w:rPr>
          <w:b/>
          <w:bCs/>
          <w:sz w:val="24"/>
          <w:u w:val="single"/>
        </w:rPr>
        <w:t xml:space="preserve">01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CC6497">
        <w:rPr>
          <w:b/>
          <w:bCs/>
          <w:sz w:val="24"/>
          <w:u w:val="single"/>
        </w:rPr>
        <w:t>3</w:t>
      </w:r>
      <w:r w:rsidRPr="00294557">
        <w:rPr>
          <w:b/>
          <w:bCs/>
          <w:sz w:val="24"/>
          <w:u w:val="single"/>
        </w:rPr>
        <w:t>)</w:t>
      </w:r>
    </w:p>
    <w:p w:rsidR="009D129D" w:rsidRPr="00016F7C" w:rsidRDefault="009D129D" w:rsidP="009D129D">
      <w:pPr>
        <w:spacing w:before="100" w:beforeAutospacing="1" w:after="100" w:afterAutospacing="1"/>
        <w:ind w:left="720" w:right="-144" w:hanging="720"/>
        <w:jc w:val="both"/>
        <w:outlineLvl w:val="0"/>
        <w:rPr>
          <w:b/>
          <w:bCs/>
          <w:sz w:val="24"/>
          <w:u w:val="single"/>
          <w:lang w:val="en-US"/>
        </w:rPr>
      </w:pPr>
      <w:proofErr w:type="spellStart"/>
      <w:r w:rsidRPr="00016F7C">
        <w:rPr>
          <w:b/>
          <w:bCs/>
          <w:sz w:val="24"/>
          <w:u w:val="single"/>
          <w:lang w:val="en-US"/>
        </w:rPr>
        <w:t>Mrs</w:t>
      </w:r>
      <w:proofErr w:type="spellEnd"/>
      <w:r w:rsidRPr="00016F7C">
        <w:rPr>
          <w:b/>
          <w:bCs/>
          <w:sz w:val="24"/>
          <w:u w:val="single"/>
          <w:lang w:val="en-US"/>
        </w:rPr>
        <w:t xml:space="preserve"> M O Clarke (DA) to ask the Minister of Health</w:t>
      </w:r>
      <w:r w:rsidR="00213E44" w:rsidRPr="00016F7C">
        <w:rPr>
          <w:b/>
          <w:bCs/>
          <w:sz w:val="24"/>
          <w:u w:val="single"/>
          <w:lang w:val="en-US"/>
        </w:rPr>
        <w:fldChar w:fldCharType="begin"/>
      </w:r>
      <w:r w:rsidRPr="00016F7C">
        <w:rPr>
          <w:u w:val="single"/>
        </w:rPr>
        <w:instrText xml:space="preserve"> XE "</w:instrText>
      </w:r>
      <w:r w:rsidRPr="00016F7C">
        <w:rPr>
          <w:b/>
          <w:sz w:val="24"/>
          <w:u w:val="single"/>
        </w:rPr>
        <w:instrText>Health</w:instrText>
      </w:r>
      <w:r w:rsidRPr="00016F7C">
        <w:rPr>
          <w:u w:val="single"/>
        </w:rPr>
        <w:instrText xml:space="preserve">" </w:instrText>
      </w:r>
      <w:r w:rsidR="00213E44" w:rsidRPr="00016F7C">
        <w:rPr>
          <w:b/>
          <w:bCs/>
          <w:sz w:val="24"/>
          <w:u w:val="single"/>
          <w:lang w:val="en-US"/>
        </w:rPr>
        <w:fldChar w:fldCharType="end"/>
      </w:r>
      <w:r w:rsidRPr="00016F7C">
        <w:rPr>
          <w:b/>
          <w:bCs/>
          <w:sz w:val="24"/>
          <w:u w:val="single"/>
          <w:lang w:val="en-US"/>
        </w:rPr>
        <w:t xml:space="preserve">: </w:t>
      </w:r>
    </w:p>
    <w:p w:rsidR="009D129D" w:rsidRPr="00016F7C" w:rsidRDefault="009D129D" w:rsidP="00016F7C">
      <w:pPr>
        <w:spacing w:before="100" w:beforeAutospacing="1" w:after="100" w:afterAutospacing="1"/>
        <w:ind w:left="709" w:right="-144" w:hanging="720"/>
        <w:jc w:val="both"/>
        <w:outlineLvl w:val="0"/>
        <w:rPr>
          <w:sz w:val="24"/>
        </w:rPr>
      </w:pPr>
      <w:r w:rsidRPr="00016F7C">
        <w:rPr>
          <w:sz w:val="24"/>
        </w:rPr>
        <w:t>(1)</w:t>
      </w:r>
      <w:r w:rsidRPr="00016F7C">
        <w:rPr>
          <w:sz w:val="24"/>
        </w:rPr>
        <w:tab/>
        <w:t>Whether each hospital in the Republic has a blueprint; if not, what is the position in this regard; if so, what are the minimum norms and standards for each hospital in each category of hospital;</w:t>
      </w:r>
    </w:p>
    <w:p w:rsidR="009D129D" w:rsidRPr="00016F7C" w:rsidRDefault="009D129D" w:rsidP="00016F7C">
      <w:pPr>
        <w:spacing w:before="100" w:beforeAutospacing="1" w:after="100" w:afterAutospacing="1"/>
        <w:ind w:left="709" w:right="-144" w:hanging="720"/>
        <w:jc w:val="both"/>
        <w:outlineLvl w:val="0"/>
        <w:rPr>
          <w:sz w:val="24"/>
        </w:rPr>
      </w:pPr>
      <w:r w:rsidRPr="00016F7C">
        <w:rPr>
          <w:sz w:val="24"/>
        </w:rPr>
        <w:t>(2)</w:t>
      </w:r>
      <w:r w:rsidRPr="00016F7C">
        <w:rPr>
          <w:sz w:val="24"/>
        </w:rPr>
        <w:tab/>
        <w:t xml:space="preserve">(a) how often are quality assurance checks conducted in each hospital and (b) what are the outcomes thereof; </w:t>
      </w:r>
    </w:p>
    <w:p w:rsidR="0093674D" w:rsidRPr="005905DA" w:rsidRDefault="009D129D" w:rsidP="00016F7C">
      <w:pPr>
        <w:spacing w:before="100" w:beforeAutospacing="1" w:after="100" w:afterAutospacing="1"/>
        <w:ind w:left="709" w:hanging="709"/>
        <w:jc w:val="both"/>
        <w:outlineLvl w:val="0"/>
        <w:rPr>
          <w:rFonts w:ascii="Times New Roman" w:hAnsi="Times New Roman" w:cs="Times New Roman"/>
          <w:sz w:val="20"/>
        </w:rPr>
      </w:pPr>
      <w:r w:rsidRPr="00016F7C">
        <w:rPr>
          <w:sz w:val="24"/>
        </w:rPr>
        <w:t>(3)</w:t>
      </w:r>
      <w:r w:rsidRPr="00016F7C">
        <w:rPr>
          <w:sz w:val="24"/>
        </w:rPr>
        <w:tab/>
        <w:t>what (a) is the human resource (HR) component in each hospital, (b) shortages of staff are experienced, (c) number of funded vacancies are still vacant, (d) period have the positions been vacant for and (e) is the HR capacity plan in each hospital in each province compared to the population capacity?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005DC">
        <w:rPr>
          <w:color w:val="000000"/>
        </w:rPr>
        <w:t>52</w:t>
      </w:r>
      <w:r w:rsidR="00016F7C">
        <w:rPr>
          <w:color w:val="000000"/>
        </w:rPr>
        <w:t>9</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B69C0" w:rsidRDefault="00CB69C0" w:rsidP="00CB69C0">
      <w:pPr>
        <w:ind w:left="709" w:hanging="709"/>
        <w:jc w:val="both"/>
        <w:rPr>
          <w:sz w:val="24"/>
        </w:rPr>
      </w:pPr>
    </w:p>
    <w:p w:rsidR="00CB69C0" w:rsidRPr="00CB69C0" w:rsidRDefault="00CB69C0" w:rsidP="00CB69C0">
      <w:pPr>
        <w:ind w:left="709" w:hanging="709"/>
        <w:jc w:val="both"/>
        <w:rPr>
          <w:sz w:val="24"/>
        </w:rPr>
      </w:pPr>
      <w:r w:rsidRPr="00CB69C0">
        <w:rPr>
          <w:sz w:val="24"/>
        </w:rPr>
        <w:t xml:space="preserve">(1) </w:t>
      </w:r>
      <w:r w:rsidRPr="00CB69C0">
        <w:rPr>
          <w:sz w:val="24"/>
        </w:rPr>
        <w:tab/>
        <w:t xml:space="preserve">In a 2013, the Department developed a </w:t>
      </w:r>
      <w:bookmarkStart w:id="0" w:name="_Hlk101434152"/>
      <w:r w:rsidRPr="00CB69C0">
        <w:rPr>
          <w:sz w:val="24"/>
        </w:rPr>
        <w:t xml:space="preserve">Policy Guideline for Tertiary Services </w:t>
      </w:r>
      <w:bookmarkEnd w:id="0"/>
      <w:r w:rsidRPr="00CB69C0">
        <w:rPr>
          <w:sz w:val="24"/>
        </w:rPr>
        <w:t xml:space="preserve">which provides guidance or a blueprint for the minimum health workforce categories required at each category of hospital. </w:t>
      </w:r>
      <w:proofErr w:type="gramStart"/>
      <w:r w:rsidRPr="00CB69C0">
        <w:rPr>
          <w:sz w:val="24"/>
        </w:rPr>
        <w:t>These category</w:t>
      </w:r>
      <w:proofErr w:type="gramEnd"/>
      <w:r w:rsidRPr="00CB69C0">
        <w:rPr>
          <w:sz w:val="24"/>
        </w:rPr>
        <w:t xml:space="preserve"> of hospitals ranges from the Regional, Tertiary, Central, National Referral Hospitals to Specialised Hospitals.</w:t>
      </w:r>
    </w:p>
    <w:p w:rsidR="00CB69C0" w:rsidRPr="00CB69C0" w:rsidRDefault="00CB69C0" w:rsidP="00CB69C0">
      <w:pPr>
        <w:jc w:val="both"/>
        <w:rPr>
          <w:sz w:val="24"/>
        </w:rPr>
      </w:pPr>
    </w:p>
    <w:p w:rsidR="00CB69C0" w:rsidRPr="00CB69C0" w:rsidRDefault="00CB69C0" w:rsidP="00CB69C0">
      <w:pPr>
        <w:ind w:left="709"/>
        <w:jc w:val="both"/>
        <w:rPr>
          <w:sz w:val="24"/>
        </w:rPr>
      </w:pPr>
      <w:r w:rsidRPr="00CB69C0">
        <w:rPr>
          <w:sz w:val="24"/>
        </w:rPr>
        <w:t xml:space="preserve">Regional/Secondary (R) hospitals require the permanent presence and input of a general specialist in each of the TEN core specialties listed below, or </w:t>
      </w:r>
      <w:r w:rsidRPr="00CB69C0">
        <w:rPr>
          <w:i/>
          <w:iCs/>
          <w:sz w:val="24"/>
        </w:rPr>
        <w:t xml:space="preserve">at least </w:t>
      </w:r>
      <w:r w:rsidRPr="00CB69C0">
        <w:rPr>
          <w:b/>
          <w:bCs/>
          <w:i/>
          <w:iCs/>
          <w:sz w:val="24"/>
        </w:rPr>
        <w:t>two</w:t>
      </w:r>
      <w:r w:rsidRPr="00CB69C0">
        <w:rPr>
          <w:i/>
          <w:iCs/>
          <w:sz w:val="24"/>
        </w:rPr>
        <w:t xml:space="preserve"> full time specialists per core specialty</w:t>
      </w:r>
      <w:r w:rsidRPr="00CB69C0">
        <w:rPr>
          <w:sz w:val="24"/>
        </w:rPr>
        <w:t>:</w:t>
      </w:r>
    </w:p>
    <w:p w:rsidR="00CB69C0" w:rsidRPr="00CB69C0" w:rsidRDefault="00CB69C0" w:rsidP="00CB69C0">
      <w:pPr>
        <w:ind w:left="709"/>
        <w:jc w:val="both"/>
        <w:rPr>
          <w:sz w:val="24"/>
        </w:rPr>
      </w:pPr>
    </w:p>
    <w:p w:rsidR="00CB69C0" w:rsidRPr="00CB69C0" w:rsidRDefault="00CB69C0" w:rsidP="00130BD1">
      <w:pPr>
        <w:numPr>
          <w:ilvl w:val="0"/>
          <w:numId w:val="2"/>
        </w:numPr>
        <w:jc w:val="both"/>
        <w:rPr>
          <w:sz w:val="24"/>
        </w:rPr>
      </w:pPr>
      <w:r w:rsidRPr="00CB69C0">
        <w:rPr>
          <w:sz w:val="24"/>
        </w:rPr>
        <w:t>Medicine</w:t>
      </w:r>
    </w:p>
    <w:p w:rsidR="00CB69C0" w:rsidRPr="00CB69C0" w:rsidRDefault="00CB69C0" w:rsidP="00130BD1">
      <w:pPr>
        <w:numPr>
          <w:ilvl w:val="0"/>
          <w:numId w:val="2"/>
        </w:numPr>
        <w:jc w:val="both"/>
        <w:rPr>
          <w:sz w:val="24"/>
        </w:rPr>
      </w:pPr>
      <w:r w:rsidRPr="00CB69C0">
        <w:rPr>
          <w:sz w:val="24"/>
        </w:rPr>
        <w:t>Surgery</w:t>
      </w:r>
    </w:p>
    <w:p w:rsidR="00CB69C0" w:rsidRPr="00CB69C0" w:rsidRDefault="00CB69C0" w:rsidP="00130BD1">
      <w:pPr>
        <w:numPr>
          <w:ilvl w:val="0"/>
          <w:numId w:val="2"/>
        </w:numPr>
        <w:jc w:val="both"/>
        <w:rPr>
          <w:sz w:val="24"/>
        </w:rPr>
      </w:pPr>
      <w:r w:rsidRPr="00CB69C0">
        <w:rPr>
          <w:sz w:val="24"/>
        </w:rPr>
        <w:t xml:space="preserve">Psychiatry </w:t>
      </w:r>
    </w:p>
    <w:p w:rsidR="00CB69C0" w:rsidRPr="00CB69C0" w:rsidRDefault="00CB69C0" w:rsidP="00130BD1">
      <w:pPr>
        <w:numPr>
          <w:ilvl w:val="0"/>
          <w:numId w:val="2"/>
        </w:numPr>
        <w:jc w:val="both"/>
        <w:rPr>
          <w:sz w:val="24"/>
        </w:rPr>
      </w:pPr>
      <w:r w:rsidRPr="00CB69C0">
        <w:rPr>
          <w:sz w:val="24"/>
        </w:rPr>
        <w:t>Obstetrics &amp; Gynaecology</w:t>
      </w:r>
    </w:p>
    <w:p w:rsidR="00CB69C0" w:rsidRPr="00CB69C0" w:rsidRDefault="00CB69C0" w:rsidP="00130BD1">
      <w:pPr>
        <w:numPr>
          <w:ilvl w:val="0"/>
          <w:numId w:val="2"/>
        </w:numPr>
        <w:jc w:val="both"/>
        <w:rPr>
          <w:sz w:val="24"/>
        </w:rPr>
      </w:pPr>
      <w:r w:rsidRPr="00CB69C0">
        <w:rPr>
          <w:sz w:val="24"/>
        </w:rPr>
        <w:t>Orthopaedic Surgery</w:t>
      </w:r>
    </w:p>
    <w:p w:rsidR="00CB69C0" w:rsidRPr="00CB69C0" w:rsidRDefault="00CB69C0" w:rsidP="00130BD1">
      <w:pPr>
        <w:numPr>
          <w:ilvl w:val="0"/>
          <w:numId w:val="2"/>
        </w:numPr>
        <w:jc w:val="both"/>
        <w:rPr>
          <w:sz w:val="24"/>
        </w:rPr>
      </w:pPr>
      <w:r w:rsidRPr="00CB69C0">
        <w:rPr>
          <w:sz w:val="24"/>
        </w:rPr>
        <w:t>Paediatrics</w:t>
      </w:r>
    </w:p>
    <w:p w:rsidR="00CB69C0" w:rsidRPr="00CB69C0" w:rsidRDefault="00CB69C0" w:rsidP="00130BD1">
      <w:pPr>
        <w:numPr>
          <w:ilvl w:val="0"/>
          <w:numId w:val="2"/>
        </w:numPr>
        <w:jc w:val="both"/>
        <w:rPr>
          <w:sz w:val="24"/>
        </w:rPr>
      </w:pPr>
      <w:r w:rsidRPr="00CB69C0">
        <w:rPr>
          <w:sz w:val="24"/>
        </w:rPr>
        <w:t>Anaesthetics</w:t>
      </w:r>
    </w:p>
    <w:p w:rsidR="00CB69C0" w:rsidRPr="00CB69C0" w:rsidRDefault="00CB69C0" w:rsidP="00130BD1">
      <w:pPr>
        <w:numPr>
          <w:ilvl w:val="0"/>
          <w:numId w:val="2"/>
        </w:numPr>
        <w:jc w:val="both"/>
        <w:rPr>
          <w:sz w:val="24"/>
        </w:rPr>
      </w:pPr>
      <w:r w:rsidRPr="00CB69C0">
        <w:rPr>
          <w:sz w:val="24"/>
        </w:rPr>
        <w:t>Diagnostic Radiology</w:t>
      </w:r>
    </w:p>
    <w:p w:rsidR="00CB69C0" w:rsidRPr="00CB69C0" w:rsidRDefault="00CB69C0" w:rsidP="00130BD1">
      <w:pPr>
        <w:numPr>
          <w:ilvl w:val="0"/>
          <w:numId w:val="2"/>
        </w:numPr>
        <w:jc w:val="both"/>
        <w:rPr>
          <w:sz w:val="24"/>
        </w:rPr>
      </w:pPr>
      <w:r w:rsidRPr="00CB69C0">
        <w:rPr>
          <w:sz w:val="24"/>
        </w:rPr>
        <w:t>Laboratory Medicine</w:t>
      </w:r>
    </w:p>
    <w:p w:rsidR="00CB69C0" w:rsidRPr="00CB69C0" w:rsidRDefault="00CB69C0" w:rsidP="00130BD1">
      <w:pPr>
        <w:numPr>
          <w:ilvl w:val="0"/>
          <w:numId w:val="2"/>
        </w:numPr>
        <w:jc w:val="both"/>
        <w:rPr>
          <w:sz w:val="24"/>
        </w:rPr>
      </w:pPr>
      <w:r w:rsidRPr="00CB69C0">
        <w:rPr>
          <w:sz w:val="24"/>
        </w:rPr>
        <w:t>Emergency Medicine</w:t>
      </w:r>
    </w:p>
    <w:p w:rsidR="00CB69C0" w:rsidRPr="00CB69C0" w:rsidRDefault="00CB69C0" w:rsidP="00CB69C0">
      <w:pPr>
        <w:ind w:left="1221"/>
        <w:jc w:val="both"/>
        <w:rPr>
          <w:sz w:val="24"/>
        </w:rPr>
      </w:pPr>
    </w:p>
    <w:p w:rsidR="00CB69C0" w:rsidRPr="00CB69C0" w:rsidRDefault="00CB69C0" w:rsidP="00CB69C0">
      <w:pPr>
        <w:ind w:left="709"/>
        <w:jc w:val="both"/>
        <w:rPr>
          <w:sz w:val="24"/>
        </w:rPr>
      </w:pPr>
      <w:r w:rsidRPr="00CB69C0">
        <w:rPr>
          <w:sz w:val="24"/>
        </w:rPr>
        <w:t xml:space="preserve">Tertiary Hospitals (T1) </w:t>
      </w:r>
      <w:proofErr w:type="gramStart"/>
      <w:r w:rsidRPr="00CB69C0">
        <w:rPr>
          <w:sz w:val="24"/>
        </w:rPr>
        <w:t>provide</w:t>
      </w:r>
      <w:proofErr w:type="gramEnd"/>
      <w:r w:rsidRPr="00CB69C0">
        <w:rPr>
          <w:sz w:val="24"/>
        </w:rPr>
        <w:t xml:space="preserve"> services with more specialists than is generally available at Regional hospitals. T1 services are centred on a strong </w:t>
      </w:r>
      <w:r w:rsidRPr="00CB69C0">
        <w:rPr>
          <w:b/>
          <w:bCs/>
          <w:sz w:val="24"/>
        </w:rPr>
        <w:t>core of specialists in the main specialties</w:t>
      </w:r>
      <w:r w:rsidRPr="00CB69C0">
        <w:rPr>
          <w:sz w:val="24"/>
        </w:rPr>
        <w:t xml:space="preserve">, supported by other specialist and </w:t>
      </w:r>
      <w:r w:rsidRPr="00CB69C0">
        <w:rPr>
          <w:b/>
          <w:bCs/>
          <w:sz w:val="24"/>
        </w:rPr>
        <w:t>sub-specialists</w:t>
      </w:r>
      <w:r w:rsidRPr="00CB69C0">
        <w:rPr>
          <w:sz w:val="24"/>
        </w:rPr>
        <w:t>.</w:t>
      </w:r>
    </w:p>
    <w:p w:rsidR="00CB69C0" w:rsidRPr="00CB69C0" w:rsidRDefault="00CB69C0" w:rsidP="00CB69C0">
      <w:pPr>
        <w:jc w:val="both"/>
        <w:rPr>
          <w:sz w:val="24"/>
        </w:rPr>
      </w:pPr>
    </w:p>
    <w:p w:rsidR="00CB69C0" w:rsidRPr="00CB69C0" w:rsidRDefault="00CB69C0" w:rsidP="00CB69C0">
      <w:pPr>
        <w:ind w:left="709"/>
        <w:jc w:val="both"/>
        <w:rPr>
          <w:sz w:val="24"/>
        </w:rPr>
      </w:pPr>
      <w:r w:rsidRPr="00CB69C0">
        <w:rPr>
          <w:sz w:val="24"/>
        </w:rPr>
        <w:t xml:space="preserve">Central Referral Hospitals (T2) represents a set of highly specialist services, delivered by </w:t>
      </w:r>
      <w:r w:rsidRPr="00CB69C0">
        <w:rPr>
          <w:b/>
          <w:bCs/>
          <w:sz w:val="24"/>
        </w:rPr>
        <w:t>sub-specialists that require unique, highly skilled and scarce personnel</w:t>
      </w:r>
      <w:r w:rsidRPr="00CB69C0">
        <w:rPr>
          <w:sz w:val="24"/>
        </w:rPr>
        <w:t>.</w:t>
      </w:r>
    </w:p>
    <w:p w:rsidR="00CB69C0" w:rsidRPr="00CB69C0" w:rsidRDefault="00CB69C0" w:rsidP="00CB69C0">
      <w:pPr>
        <w:ind w:left="709"/>
        <w:jc w:val="both"/>
        <w:rPr>
          <w:sz w:val="24"/>
        </w:rPr>
      </w:pPr>
      <w:bookmarkStart w:id="1" w:name="_Hlk101429548"/>
    </w:p>
    <w:p w:rsidR="00CB69C0" w:rsidRPr="00CB69C0" w:rsidRDefault="00CB69C0" w:rsidP="00CB69C0">
      <w:pPr>
        <w:ind w:left="709"/>
        <w:jc w:val="both"/>
        <w:rPr>
          <w:sz w:val="24"/>
        </w:rPr>
      </w:pPr>
      <w:r w:rsidRPr="00CB69C0">
        <w:rPr>
          <w:sz w:val="24"/>
        </w:rPr>
        <w:lastRenderedPageBreak/>
        <w:t xml:space="preserve">National Referral Hospitals </w:t>
      </w:r>
      <w:bookmarkEnd w:id="1"/>
      <w:r w:rsidRPr="00CB69C0">
        <w:rPr>
          <w:sz w:val="24"/>
        </w:rPr>
        <w:t xml:space="preserve">(T3) offer services that are provided by </w:t>
      </w:r>
      <w:r w:rsidRPr="00CB69C0">
        <w:rPr>
          <w:b/>
          <w:bCs/>
          <w:sz w:val="24"/>
        </w:rPr>
        <w:t>super-specialist</w:t>
      </w:r>
      <w:r w:rsidRPr="00CB69C0">
        <w:rPr>
          <w:sz w:val="24"/>
        </w:rPr>
        <w:t xml:space="preserve"> at national referral units only, each linked to a Central Hospital.</w:t>
      </w:r>
    </w:p>
    <w:p w:rsidR="00CB69C0" w:rsidRPr="00CB69C0" w:rsidRDefault="00CB69C0" w:rsidP="00CB69C0">
      <w:pPr>
        <w:ind w:left="709"/>
        <w:jc w:val="both"/>
        <w:rPr>
          <w:sz w:val="24"/>
        </w:rPr>
      </w:pPr>
      <w:bookmarkStart w:id="2" w:name="_Hlk101429575"/>
      <w:proofErr w:type="gramStart"/>
      <w:r w:rsidRPr="00CB69C0">
        <w:rPr>
          <w:sz w:val="24"/>
        </w:rPr>
        <w:t xml:space="preserve">Specialised Psychiatric Hospitals </w:t>
      </w:r>
      <w:bookmarkEnd w:id="2"/>
      <w:r w:rsidRPr="00CB69C0">
        <w:rPr>
          <w:sz w:val="24"/>
        </w:rPr>
        <w:t>(SP) offer services that may be provided in general hospitals (usually acute psychiatric wards only) but are mostly provided at specialised facilities designed for care of mentally ill patients.</w:t>
      </w:r>
      <w:proofErr w:type="gramEnd"/>
    </w:p>
    <w:p w:rsidR="00CB69C0" w:rsidRPr="00CB69C0" w:rsidRDefault="00CB69C0" w:rsidP="00CB69C0">
      <w:pPr>
        <w:ind w:left="709"/>
        <w:jc w:val="both"/>
        <w:rPr>
          <w:sz w:val="24"/>
        </w:rPr>
      </w:pPr>
    </w:p>
    <w:p w:rsidR="00CB69C0" w:rsidRPr="00CB69C0" w:rsidRDefault="00CB69C0" w:rsidP="00CB69C0">
      <w:pPr>
        <w:ind w:left="709"/>
        <w:jc w:val="both"/>
        <w:rPr>
          <w:b/>
          <w:bCs/>
          <w:sz w:val="24"/>
        </w:rPr>
      </w:pPr>
      <w:r w:rsidRPr="00CB69C0">
        <w:rPr>
          <w:b/>
          <w:bCs/>
          <w:sz w:val="24"/>
        </w:rPr>
        <w:t>Further considerations:</w:t>
      </w:r>
    </w:p>
    <w:p w:rsidR="00CB69C0" w:rsidRPr="00CB69C0" w:rsidRDefault="00CB69C0" w:rsidP="00CB69C0">
      <w:pPr>
        <w:ind w:left="709"/>
        <w:jc w:val="both"/>
        <w:rPr>
          <w:sz w:val="24"/>
        </w:rPr>
      </w:pPr>
    </w:p>
    <w:p w:rsidR="00CB69C0" w:rsidRPr="00CB69C0" w:rsidRDefault="00CB69C0" w:rsidP="00130BD1">
      <w:pPr>
        <w:numPr>
          <w:ilvl w:val="0"/>
          <w:numId w:val="3"/>
        </w:numPr>
        <w:ind w:left="1418" w:hanging="709"/>
        <w:jc w:val="both"/>
        <w:rPr>
          <w:sz w:val="24"/>
        </w:rPr>
      </w:pPr>
      <w:r w:rsidRPr="00CB69C0">
        <w:rPr>
          <w:sz w:val="24"/>
        </w:rPr>
        <w:t xml:space="preserve">In all regional and tertiary hospitals, consideration is given to the number and complexity of supporting clinical departments and allied clinical support services required to deliver the service. For instance, cardiothoracic surgery requires the support of a cardiology service, intensive care, </w:t>
      </w:r>
      <w:proofErr w:type="spellStart"/>
      <w:r w:rsidRPr="00CB69C0">
        <w:rPr>
          <w:sz w:val="24"/>
        </w:rPr>
        <w:t>cath</w:t>
      </w:r>
      <w:proofErr w:type="spellEnd"/>
      <w:r w:rsidRPr="00CB69C0">
        <w:rPr>
          <w:sz w:val="24"/>
        </w:rPr>
        <w:t xml:space="preserve"> lab, Clinical Technology personnel, etc.</w:t>
      </w:r>
    </w:p>
    <w:p w:rsidR="00CB69C0" w:rsidRPr="00CB69C0" w:rsidRDefault="00CB69C0" w:rsidP="00CB69C0">
      <w:pPr>
        <w:ind w:left="1418" w:hanging="709"/>
        <w:jc w:val="both"/>
        <w:rPr>
          <w:sz w:val="24"/>
        </w:rPr>
      </w:pPr>
    </w:p>
    <w:p w:rsidR="00CB69C0" w:rsidRPr="00CB69C0" w:rsidRDefault="00CB69C0" w:rsidP="00130BD1">
      <w:pPr>
        <w:numPr>
          <w:ilvl w:val="0"/>
          <w:numId w:val="3"/>
        </w:numPr>
        <w:ind w:left="1418" w:hanging="709"/>
        <w:jc w:val="both"/>
        <w:rPr>
          <w:sz w:val="24"/>
        </w:rPr>
      </w:pPr>
      <w:r w:rsidRPr="00CB69C0">
        <w:rPr>
          <w:sz w:val="24"/>
        </w:rPr>
        <w:t>The skills and competencies required to deliver the service will depend not only on the level and scarcity of skills and competencies of specialist doctors but on the level and scarcity of skills and competencies of all of the allied professionals whose inputs are required to deliver the service.</w:t>
      </w:r>
    </w:p>
    <w:p w:rsidR="00CB69C0" w:rsidRPr="00CB69C0" w:rsidRDefault="00CB69C0" w:rsidP="00CB69C0">
      <w:pPr>
        <w:pStyle w:val="ListParagraph"/>
        <w:ind w:left="1418" w:hanging="709"/>
        <w:contextualSpacing w:val="0"/>
        <w:rPr>
          <w:sz w:val="24"/>
        </w:rPr>
      </w:pPr>
    </w:p>
    <w:p w:rsidR="00CB69C0" w:rsidRPr="00CB69C0" w:rsidRDefault="00CB69C0" w:rsidP="00130BD1">
      <w:pPr>
        <w:pStyle w:val="Address"/>
        <w:numPr>
          <w:ilvl w:val="0"/>
          <w:numId w:val="3"/>
        </w:numPr>
        <w:spacing w:line="240" w:lineRule="auto"/>
        <w:ind w:left="1418" w:hanging="709"/>
        <w:jc w:val="both"/>
        <w:rPr>
          <w:rFonts w:eastAsia="Times New Roman" w:cs="Arial"/>
          <w:sz w:val="24"/>
          <w:lang w:val="en-GB"/>
        </w:rPr>
      </w:pPr>
      <w:r w:rsidRPr="00CB69C0">
        <w:rPr>
          <w:rFonts w:eastAsia="Times New Roman" w:cs="Arial"/>
          <w:sz w:val="24"/>
          <w:lang w:val="en-GB"/>
        </w:rPr>
        <w:t>The caseload required to sustain these skills and competencies must be optimal to ensure the patient’s safety and to justify the investment in the units.</w:t>
      </w:r>
    </w:p>
    <w:p w:rsidR="00CB69C0" w:rsidRPr="00CB69C0" w:rsidRDefault="00CB69C0" w:rsidP="00CB69C0">
      <w:pPr>
        <w:ind w:left="720"/>
        <w:jc w:val="both"/>
        <w:rPr>
          <w:sz w:val="24"/>
        </w:rPr>
      </w:pPr>
    </w:p>
    <w:p w:rsidR="00CB69C0" w:rsidRPr="00CB69C0" w:rsidRDefault="00CB69C0" w:rsidP="00CB69C0">
      <w:pPr>
        <w:pStyle w:val="Address"/>
        <w:tabs>
          <w:tab w:val="left" w:pos="709"/>
        </w:tabs>
        <w:spacing w:line="240" w:lineRule="auto"/>
        <w:ind w:left="1418" w:hanging="1418"/>
        <w:jc w:val="both"/>
        <w:rPr>
          <w:rFonts w:cs="Arial"/>
          <w:sz w:val="24"/>
        </w:rPr>
      </w:pPr>
      <w:r w:rsidRPr="00CB69C0">
        <w:rPr>
          <w:rFonts w:cs="Arial"/>
          <w:sz w:val="24"/>
        </w:rPr>
        <w:t>(2)</w:t>
      </w:r>
      <w:r w:rsidRPr="00CB69C0">
        <w:rPr>
          <w:rFonts w:cs="Arial"/>
          <w:sz w:val="24"/>
        </w:rPr>
        <w:tab/>
        <w:t>(</w:t>
      </w:r>
      <w:proofErr w:type="gramStart"/>
      <w:r w:rsidRPr="00CB69C0">
        <w:rPr>
          <w:rFonts w:cs="Arial"/>
          <w:sz w:val="24"/>
        </w:rPr>
        <w:t>a</w:t>
      </w:r>
      <w:proofErr w:type="gramEnd"/>
      <w:r w:rsidRPr="00CB69C0">
        <w:rPr>
          <w:rFonts w:cs="Arial"/>
          <w:sz w:val="24"/>
        </w:rPr>
        <w:t>)</w:t>
      </w:r>
      <w:r w:rsidRPr="00CB69C0">
        <w:rPr>
          <w:rFonts w:cs="Arial"/>
          <w:sz w:val="24"/>
        </w:rPr>
        <w:tab/>
      </w:r>
      <w:r w:rsidRPr="00CB69C0">
        <w:rPr>
          <w:rFonts w:cs="Arial"/>
          <w:color w:val="000000" w:themeColor="text1"/>
          <w:sz w:val="24"/>
        </w:rPr>
        <w:t xml:space="preserve">Informal quality checks should be done </w:t>
      </w:r>
      <w:r w:rsidRPr="00CB69C0">
        <w:rPr>
          <w:rFonts w:cs="Arial"/>
          <w:sz w:val="24"/>
        </w:rPr>
        <w:t xml:space="preserve">on a daily basis in hospitals. </w:t>
      </w:r>
      <w:proofErr w:type="gramStart"/>
      <w:r w:rsidRPr="00CB69C0">
        <w:rPr>
          <w:rFonts w:cs="Arial"/>
          <w:sz w:val="24"/>
        </w:rPr>
        <w:t>According to the Norms and Standards Regulations applicable to different categories of health establishments (Feb 2018) all health establishments must conduct an annual self-assessment (formal quality assessment) against the Norms and Standards Regulations.</w:t>
      </w:r>
      <w:proofErr w:type="gramEnd"/>
      <w:r w:rsidRPr="00CB69C0">
        <w:rPr>
          <w:rFonts w:cs="Arial"/>
          <w:sz w:val="24"/>
        </w:rPr>
        <w:t xml:space="preserve"> The measures for District and Regional hospitals for the Norms and Standards Regulations were published by the Office of Health Standards Compliance in August 2021. The Central Hospital tool is in draft format.</w:t>
      </w:r>
    </w:p>
    <w:p w:rsidR="00CB69C0" w:rsidRPr="00CB69C0" w:rsidRDefault="00CB69C0" w:rsidP="00CB69C0">
      <w:pPr>
        <w:pStyle w:val="Address"/>
        <w:tabs>
          <w:tab w:val="left" w:pos="709"/>
        </w:tabs>
        <w:spacing w:line="240" w:lineRule="auto"/>
        <w:ind w:left="1418" w:hanging="1418"/>
        <w:jc w:val="both"/>
        <w:rPr>
          <w:rFonts w:cs="Arial"/>
          <w:sz w:val="24"/>
        </w:rPr>
      </w:pPr>
    </w:p>
    <w:p w:rsidR="00CB69C0" w:rsidRPr="00CB69C0" w:rsidRDefault="00CB69C0" w:rsidP="00CB69C0">
      <w:pPr>
        <w:pStyle w:val="Address"/>
        <w:tabs>
          <w:tab w:val="left" w:pos="709"/>
        </w:tabs>
        <w:spacing w:line="240" w:lineRule="auto"/>
        <w:ind w:left="1418" w:hanging="1418"/>
        <w:jc w:val="both"/>
        <w:rPr>
          <w:rFonts w:cs="Arial"/>
          <w:sz w:val="24"/>
        </w:rPr>
      </w:pPr>
      <w:r w:rsidRPr="00CB69C0">
        <w:rPr>
          <w:rFonts w:cs="Arial"/>
          <w:sz w:val="24"/>
        </w:rPr>
        <w:tab/>
        <w:t>(b)</w:t>
      </w:r>
      <w:r w:rsidRPr="00CB69C0">
        <w:rPr>
          <w:rFonts w:cs="Arial"/>
          <w:sz w:val="24"/>
        </w:rPr>
        <w:tab/>
      </w:r>
      <w:r w:rsidRPr="00CB69C0">
        <w:rPr>
          <w:rFonts w:cs="Arial"/>
          <w:color w:val="000000" w:themeColor="text1"/>
          <w:sz w:val="24"/>
        </w:rPr>
        <w:t>Currently the Ideal Hospital Framework is used by public hospital to conduct a self-assessment. The framework has been aligned with the published measures for the Norms and Standards Regulations and will come into effect in the 2022/23 financial year. The result of the assessments conducted by hospitals for the 2021/22 financial year is set out in the table below.  From the 394 public hospitals, 257 (64%) hospitals have conducted an assessment.</w:t>
      </w:r>
    </w:p>
    <w:p w:rsidR="00CB69C0" w:rsidRPr="00CB69C0" w:rsidRDefault="00CB69C0" w:rsidP="00CB69C0">
      <w:pPr>
        <w:pStyle w:val="ListParagraph"/>
        <w:ind w:left="284"/>
        <w:contextualSpacing w:val="0"/>
        <w:jc w:val="both"/>
        <w:rPr>
          <w:sz w:val="24"/>
        </w:rPr>
      </w:pPr>
    </w:p>
    <w:tbl>
      <w:tblPr>
        <w:tblW w:w="9072" w:type="dxa"/>
        <w:tblInd w:w="1413" w:type="dxa"/>
        <w:tblLook w:val="04A0"/>
      </w:tblPr>
      <w:tblGrid>
        <w:gridCol w:w="6946"/>
        <w:gridCol w:w="2126"/>
      </w:tblGrid>
      <w:tr w:rsidR="00CB69C0" w:rsidRPr="00CB69C0" w:rsidTr="00FB3C3D">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CB69C0" w:rsidRPr="00CB69C0" w:rsidRDefault="00CB69C0" w:rsidP="00FB3C3D">
            <w:pPr>
              <w:rPr>
                <w:b/>
                <w:bCs/>
                <w:color w:val="000000"/>
                <w:sz w:val="24"/>
                <w:lang w:eastAsia="en-ZA"/>
              </w:rPr>
            </w:pPr>
            <w:r w:rsidRPr="00CB69C0">
              <w:rPr>
                <w:b/>
                <w:bCs/>
                <w:color w:val="000000"/>
                <w:sz w:val="24"/>
                <w:lang w:eastAsia="en-ZA"/>
              </w:rPr>
              <w:t>Outcome of self- assessment for 2021/22 financial year</w:t>
            </w:r>
          </w:p>
        </w:tc>
        <w:tc>
          <w:tcPr>
            <w:tcW w:w="2126"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CB69C0" w:rsidRPr="00CB69C0" w:rsidRDefault="00CB69C0" w:rsidP="00FB3C3D">
            <w:pPr>
              <w:jc w:val="center"/>
              <w:rPr>
                <w:b/>
                <w:bCs/>
                <w:color w:val="000000"/>
                <w:sz w:val="24"/>
                <w:lang w:eastAsia="en-ZA"/>
              </w:rPr>
            </w:pPr>
            <w:r w:rsidRPr="00CB69C0">
              <w:rPr>
                <w:b/>
                <w:bCs/>
                <w:color w:val="000000"/>
                <w:sz w:val="24"/>
                <w:lang w:eastAsia="en-ZA"/>
              </w:rPr>
              <w:t>Number of Hospitals</w:t>
            </w:r>
          </w:p>
        </w:tc>
      </w:tr>
      <w:tr w:rsidR="00CB69C0" w:rsidRPr="00CB69C0" w:rsidTr="00FB3C3D">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CB69C0" w:rsidRPr="00CB69C0" w:rsidRDefault="00CB69C0" w:rsidP="00FB3C3D">
            <w:pPr>
              <w:rPr>
                <w:color w:val="000000"/>
                <w:sz w:val="24"/>
                <w:lang w:eastAsia="en-ZA"/>
              </w:rPr>
            </w:pPr>
            <w:r w:rsidRPr="00CB69C0">
              <w:rPr>
                <w:color w:val="000000"/>
                <w:sz w:val="24"/>
                <w:lang w:eastAsia="en-ZA"/>
              </w:rPr>
              <w:t>Silver</w:t>
            </w:r>
          </w:p>
        </w:tc>
        <w:tc>
          <w:tcPr>
            <w:tcW w:w="2126" w:type="dxa"/>
            <w:tcBorders>
              <w:top w:val="nil"/>
              <w:left w:val="nil"/>
              <w:bottom w:val="single" w:sz="4" w:space="0" w:color="auto"/>
              <w:right w:val="single" w:sz="4" w:space="0" w:color="auto"/>
            </w:tcBorders>
            <w:shd w:val="clear" w:color="auto" w:fill="auto"/>
            <w:noWrap/>
            <w:vAlign w:val="bottom"/>
            <w:hideMark/>
          </w:tcPr>
          <w:p w:rsidR="00CB69C0" w:rsidRPr="00CB69C0" w:rsidRDefault="00CB69C0" w:rsidP="00FB3C3D">
            <w:pPr>
              <w:jc w:val="center"/>
              <w:rPr>
                <w:color w:val="000000"/>
                <w:sz w:val="24"/>
                <w:lang w:eastAsia="en-ZA"/>
              </w:rPr>
            </w:pPr>
            <w:r w:rsidRPr="00CB69C0">
              <w:rPr>
                <w:color w:val="000000"/>
                <w:sz w:val="24"/>
              </w:rPr>
              <w:t>116</w:t>
            </w:r>
          </w:p>
        </w:tc>
      </w:tr>
      <w:tr w:rsidR="00CB69C0" w:rsidRPr="00CB69C0" w:rsidTr="00FB3C3D">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CB69C0" w:rsidRPr="00CB69C0" w:rsidRDefault="00CB69C0" w:rsidP="00FB3C3D">
            <w:pPr>
              <w:rPr>
                <w:color w:val="000000"/>
                <w:sz w:val="24"/>
                <w:lang w:eastAsia="en-ZA"/>
              </w:rPr>
            </w:pPr>
            <w:r w:rsidRPr="00CB69C0">
              <w:rPr>
                <w:color w:val="000000"/>
                <w:sz w:val="24"/>
                <w:lang w:eastAsia="en-ZA"/>
              </w:rPr>
              <w:t>Gold</w:t>
            </w:r>
          </w:p>
        </w:tc>
        <w:tc>
          <w:tcPr>
            <w:tcW w:w="2126" w:type="dxa"/>
            <w:tcBorders>
              <w:top w:val="nil"/>
              <w:left w:val="nil"/>
              <w:bottom w:val="single" w:sz="4" w:space="0" w:color="auto"/>
              <w:right w:val="single" w:sz="4" w:space="0" w:color="auto"/>
            </w:tcBorders>
            <w:shd w:val="clear" w:color="auto" w:fill="auto"/>
            <w:noWrap/>
            <w:vAlign w:val="bottom"/>
            <w:hideMark/>
          </w:tcPr>
          <w:p w:rsidR="00CB69C0" w:rsidRPr="00CB69C0" w:rsidRDefault="00CB69C0" w:rsidP="00FB3C3D">
            <w:pPr>
              <w:jc w:val="center"/>
              <w:rPr>
                <w:color w:val="000000"/>
                <w:sz w:val="24"/>
                <w:lang w:eastAsia="en-ZA"/>
              </w:rPr>
            </w:pPr>
            <w:r w:rsidRPr="00CB69C0">
              <w:rPr>
                <w:color w:val="000000"/>
                <w:sz w:val="24"/>
              </w:rPr>
              <w:t>6</w:t>
            </w:r>
          </w:p>
        </w:tc>
      </w:tr>
      <w:tr w:rsidR="00CB69C0" w:rsidRPr="00CB69C0" w:rsidTr="00FB3C3D">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CB69C0" w:rsidRPr="00CB69C0" w:rsidRDefault="00CB69C0" w:rsidP="00FB3C3D">
            <w:pPr>
              <w:rPr>
                <w:color w:val="000000"/>
                <w:sz w:val="24"/>
                <w:lang w:eastAsia="en-ZA"/>
              </w:rPr>
            </w:pPr>
            <w:r w:rsidRPr="00CB69C0">
              <w:rPr>
                <w:color w:val="000000"/>
                <w:sz w:val="24"/>
                <w:lang w:eastAsia="en-ZA"/>
              </w:rPr>
              <w:t>Platinum</w:t>
            </w:r>
          </w:p>
        </w:tc>
        <w:tc>
          <w:tcPr>
            <w:tcW w:w="2126" w:type="dxa"/>
            <w:tcBorders>
              <w:top w:val="nil"/>
              <w:left w:val="nil"/>
              <w:bottom w:val="single" w:sz="4" w:space="0" w:color="auto"/>
              <w:right w:val="single" w:sz="4" w:space="0" w:color="auto"/>
            </w:tcBorders>
            <w:shd w:val="clear" w:color="auto" w:fill="auto"/>
            <w:noWrap/>
            <w:vAlign w:val="bottom"/>
            <w:hideMark/>
          </w:tcPr>
          <w:p w:rsidR="00CB69C0" w:rsidRPr="00CB69C0" w:rsidRDefault="00CB69C0" w:rsidP="00FB3C3D">
            <w:pPr>
              <w:jc w:val="center"/>
              <w:rPr>
                <w:color w:val="000000"/>
                <w:sz w:val="24"/>
                <w:lang w:eastAsia="en-ZA"/>
              </w:rPr>
            </w:pPr>
            <w:r w:rsidRPr="00CB69C0">
              <w:rPr>
                <w:color w:val="000000"/>
                <w:sz w:val="24"/>
              </w:rPr>
              <w:t>6</w:t>
            </w:r>
          </w:p>
        </w:tc>
      </w:tr>
      <w:tr w:rsidR="00CB69C0" w:rsidRPr="00CB69C0" w:rsidTr="00FB3C3D">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CB69C0" w:rsidRPr="00CB69C0" w:rsidRDefault="00CB69C0" w:rsidP="00FB3C3D">
            <w:pPr>
              <w:rPr>
                <w:color w:val="000000"/>
                <w:sz w:val="24"/>
                <w:lang w:eastAsia="en-ZA"/>
              </w:rPr>
            </w:pPr>
            <w:r w:rsidRPr="00CB69C0">
              <w:rPr>
                <w:color w:val="000000"/>
                <w:sz w:val="24"/>
                <w:lang w:eastAsia="en-ZA"/>
              </w:rPr>
              <w:t>Not achieved</w:t>
            </w:r>
          </w:p>
        </w:tc>
        <w:tc>
          <w:tcPr>
            <w:tcW w:w="2126" w:type="dxa"/>
            <w:tcBorders>
              <w:top w:val="nil"/>
              <w:left w:val="nil"/>
              <w:bottom w:val="single" w:sz="4" w:space="0" w:color="auto"/>
              <w:right w:val="single" w:sz="4" w:space="0" w:color="auto"/>
            </w:tcBorders>
            <w:shd w:val="clear" w:color="auto" w:fill="auto"/>
            <w:noWrap/>
            <w:vAlign w:val="bottom"/>
            <w:hideMark/>
          </w:tcPr>
          <w:p w:rsidR="00CB69C0" w:rsidRPr="00CB69C0" w:rsidRDefault="00CB69C0" w:rsidP="00FB3C3D">
            <w:pPr>
              <w:jc w:val="center"/>
              <w:rPr>
                <w:color w:val="000000"/>
                <w:sz w:val="24"/>
                <w:lang w:eastAsia="en-ZA"/>
              </w:rPr>
            </w:pPr>
            <w:r w:rsidRPr="00CB69C0">
              <w:rPr>
                <w:color w:val="000000"/>
                <w:sz w:val="24"/>
              </w:rPr>
              <w:t>129</w:t>
            </w:r>
          </w:p>
        </w:tc>
      </w:tr>
      <w:tr w:rsidR="00CB69C0" w:rsidRPr="00CB69C0" w:rsidTr="00FB3C3D">
        <w:trPr>
          <w:trHeight w:val="300"/>
        </w:trPr>
        <w:tc>
          <w:tcPr>
            <w:tcW w:w="6946"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CB69C0" w:rsidRPr="00CB69C0" w:rsidRDefault="00CB69C0" w:rsidP="00FB3C3D">
            <w:pPr>
              <w:rPr>
                <w:b/>
                <w:bCs/>
                <w:color w:val="000000"/>
                <w:sz w:val="24"/>
                <w:lang w:eastAsia="en-ZA"/>
              </w:rPr>
            </w:pPr>
            <w:r w:rsidRPr="00CB69C0">
              <w:rPr>
                <w:b/>
                <w:bCs/>
                <w:color w:val="000000"/>
                <w:sz w:val="24"/>
                <w:lang w:eastAsia="en-ZA"/>
              </w:rPr>
              <w:t>Total assessments conducted</w:t>
            </w:r>
          </w:p>
        </w:tc>
        <w:tc>
          <w:tcPr>
            <w:tcW w:w="2126" w:type="dxa"/>
            <w:tcBorders>
              <w:top w:val="nil"/>
              <w:left w:val="nil"/>
              <w:bottom w:val="single" w:sz="4" w:space="0" w:color="auto"/>
              <w:right w:val="single" w:sz="4" w:space="0" w:color="auto"/>
            </w:tcBorders>
            <w:shd w:val="clear" w:color="auto" w:fill="FDE9D9" w:themeFill="accent6" w:themeFillTint="33"/>
            <w:noWrap/>
            <w:vAlign w:val="bottom"/>
            <w:hideMark/>
          </w:tcPr>
          <w:p w:rsidR="00CB69C0" w:rsidRPr="00CB69C0" w:rsidRDefault="00CB69C0" w:rsidP="00FB3C3D">
            <w:pPr>
              <w:jc w:val="center"/>
              <w:rPr>
                <w:b/>
                <w:bCs/>
                <w:color w:val="000000"/>
                <w:sz w:val="24"/>
                <w:lang w:eastAsia="en-ZA"/>
              </w:rPr>
            </w:pPr>
            <w:r w:rsidRPr="00CB69C0">
              <w:rPr>
                <w:b/>
                <w:bCs/>
                <w:color w:val="000000"/>
                <w:sz w:val="24"/>
              </w:rPr>
              <w:t>257</w:t>
            </w:r>
          </w:p>
        </w:tc>
      </w:tr>
    </w:tbl>
    <w:p w:rsidR="00CB69C0" w:rsidRPr="00CB69C0" w:rsidRDefault="00CB69C0" w:rsidP="00CB69C0">
      <w:pPr>
        <w:rPr>
          <w:sz w:val="24"/>
        </w:rPr>
      </w:pPr>
    </w:p>
    <w:p w:rsidR="00CB69C0" w:rsidRPr="00CB69C0" w:rsidRDefault="00CB69C0" w:rsidP="00CB69C0">
      <w:pPr>
        <w:pStyle w:val="Address"/>
        <w:tabs>
          <w:tab w:val="left" w:pos="709"/>
        </w:tabs>
        <w:spacing w:line="240" w:lineRule="auto"/>
        <w:ind w:left="1418" w:hanging="1418"/>
        <w:jc w:val="both"/>
        <w:rPr>
          <w:rFonts w:cs="Arial"/>
          <w:sz w:val="24"/>
        </w:rPr>
      </w:pPr>
      <w:r w:rsidRPr="00CB69C0">
        <w:rPr>
          <w:rFonts w:cs="Arial"/>
          <w:sz w:val="24"/>
        </w:rPr>
        <w:t xml:space="preserve">(3) </w:t>
      </w:r>
      <w:r w:rsidRPr="00CB69C0">
        <w:rPr>
          <w:rFonts w:cs="Arial"/>
          <w:sz w:val="24"/>
        </w:rPr>
        <w:tab/>
        <w:t>(</w:t>
      </w:r>
      <w:proofErr w:type="gramStart"/>
      <w:r w:rsidRPr="00CB69C0">
        <w:rPr>
          <w:rFonts w:cs="Arial"/>
          <w:sz w:val="24"/>
        </w:rPr>
        <w:t>a</w:t>
      </w:r>
      <w:proofErr w:type="gramEnd"/>
      <w:r w:rsidRPr="00CB69C0">
        <w:rPr>
          <w:rFonts w:cs="Arial"/>
          <w:sz w:val="24"/>
        </w:rPr>
        <w:t xml:space="preserve">) </w:t>
      </w:r>
      <w:r w:rsidRPr="00CB69C0">
        <w:rPr>
          <w:rFonts w:cs="Arial"/>
          <w:sz w:val="24"/>
        </w:rPr>
        <w:tab/>
        <w:t>The attached table indicates the (HR) component in each hospital recorded on PERSAL as at 31 March 2022.</w:t>
      </w:r>
    </w:p>
    <w:p w:rsidR="00CB69C0" w:rsidRPr="00CB69C0" w:rsidRDefault="00CB69C0" w:rsidP="00CB69C0">
      <w:pPr>
        <w:pStyle w:val="ListParagraph"/>
        <w:contextualSpacing w:val="0"/>
        <w:rPr>
          <w:sz w:val="24"/>
        </w:rPr>
      </w:pPr>
    </w:p>
    <w:p w:rsidR="00CB69C0" w:rsidRPr="00CB69C0" w:rsidRDefault="00CB69C0" w:rsidP="00CB69C0">
      <w:pPr>
        <w:pStyle w:val="Address"/>
        <w:spacing w:line="240" w:lineRule="auto"/>
        <w:ind w:left="1418" w:hanging="710"/>
        <w:jc w:val="both"/>
        <w:rPr>
          <w:rFonts w:cs="Arial"/>
          <w:sz w:val="24"/>
        </w:rPr>
      </w:pPr>
      <w:r w:rsidRPr="00CB69C0">
        <w:rPr>
          <w:rFonts w:cs="Arial"/>
          <w:sz w:val="24"/>
        </w:rPr>
        <w:t xml:space="preserve">(b) </w:t>
      </w:r>
      <w:r w:rsidRPr="00CB69C0">
        <w:rPr>
          <w:rFonts w:cs="Arial"/>
          <w:sz w:val="24"/>
        </w:rPr>
        <w:tab/>
        <w:t xml:space="preserve">The current overall shortage of staff for all job categories, which provide both health related, and administration functions are </w:t>
      </w:r>
      <w:r w:rsidRPr="00CB69C0">
        <w:rPr>
          <w:rFonts w:cs="Arial"/>
          <w:bCs/>
          <w:sz w:val="24"/>
        </w:rPr>
        <w:t>26 444</w:t>
      </w:r>
      <w:r w:rsidRPr="00CB69C0">
        <w:rPr>
          <w:rFonts w:cs="Arial"/>
          <w:sz w:val="24"/>
        </w:rPr>
        <w:t xml:space="preserve"> posts, in the public health sector (Hospitals) (i.e. in all 9 Provinces) recorded as on the 31 March 2022 PERSAL System date set.</w:t>
      </w:r>
    </w:p>
    <w:p w:rsidR="00CB69C0" w:rsidRPr="00CB69C0" w:rsidRDefault="00CB69C0" w:rsidP="00CB69C0">
      <w:pPr>
        <w:pStyle w:val="Address"/>
        <w:spacing w:line="240" w:lineRule="auto"/>
        <w:jc w:val="both"/>
        <w:rPr>
          <w:rFonts w:cs="Arial"/>
          <w:sz w:val="24"/>
        </w:rPr>
      </w:pPr>
    </w:p>
    <w:p w:rsidR="00CB69C0" w:rsidRPr="00CB69C0" w:rsidRDefault="00CB69C0" w:rsidP="00CB69C0">
      <w:pPr>
        <w:pStyle w:val="Address"/>
        <w:spacing w:line="240" w:lineRule="auto"/>
        <w:ind w:left="1418" w:hanging="709"/>
        <w:jc w:val="both"/>
        <w:rPr>
          <w:rFonts w:cs="Arial"/>
          <w:color w:val="000000" w:themeColor="text1"/>
          <w:sz w:val="24"/>
        </w:rPr>
      </w:pPr>
      <w:r w:rsidRPr="00CB69C0">
        <w:rPr>
          <w:rFonts w:cs="Arial"/>
          <w:sz w:val="24"/>
        </w:rPr>
        <w:t xml:space="preserve">(c) </w:t>
      </w:r>
      <w:r w:rsidRPr="00CB69C0">
        <w:rPr>
          <w:rFonts w:cs="Arial"/>
          <w:sz w:val="24"/>
        </w:rPr>
        <w:tab/>
        <w:t xml:space="preserve">Due to </w:t>
      </w:r>
      <w:r w:rsidRPr="00CB69C0">
        <w:rPr>
          <w:rFonts w:cs="Arial"/>
          <w:color w:val="000000" w:themeColor="text1"/>
          <w:sz w:val="24"/>
        </w:rPr>
        <w:t>general budget cuts introduced by National Treasury, the Cost of Employment (</w:t>
      </w:r>
      <w:proofErr w:type="spellStart"/>
      <w:r w:rsidRPr="00CB69C0">
        <w:rPr>
          <w:rFonts w:cs="Arial"/>
          <w:color w:val="000000" w:themeColor="text1"/>
          <w:sz w:val="24"/>
        </w:rPr>
        <w:t>CoE</w:t>
      </w:r>
      <w:proofErr w:type="spellEnd"/>
      <w:r w:rsidRPr="00CB69C0">
        <w:rPr>
          <w:rFonts w:cs="Arial"/>
          <w:color w:val="000000" w:themeColor="text1"/>
          <w:sz w:val="24"/>
        </w:rPr>
        <w:t xml:space="preserve">) is negatively affected and therefore </w:t>
      </w:r>
      <w:r w:rsidRPr="00CB69C0">
        <w:rPr>
          <w:rFonts w:cs="Arial"/>
          <w:color w:val="000000" w:themeColor="text1"/>
          <w:sz w:val="24"/>
          <w:u w:val="single"/>
        </w:rPr>
        <w:t>not all posts</w:t>
      </w:r>
      <w:r w:rsidRPr="00CB69C0">
        <w:rPr>
          <w:rFonts w:cs="Arial"/>
          <w:color w:val="000000" w:themeColor="text1"/>
          <w:sz w:val="24"/>
        </w:rPr>
        <w:t xml:space="preserve"> can be filled simultaneously. </w:t>
      </w:r>
      <w:r w:rsidRPr="00CB69C0">
        <w:rPr>
          <w:rFonts w:cs="Arial"/>
          <w:sz w:val="24"/>
        </w:rPr>
        <w:t xml:space="preserve">It is therefore impossible to confirm total funded vacancies as all posts are placed in the same pot and </w:t>
      </w:r>
      <w:r w:rsidRPr="00CB69C0">
        <w:rPr>
          <w:rFonts w:cs="Arial"/>
          <w:color w:val="000000" w:themeColor="text1"/>
          <w:sz w:val="24"/>
        </w:rPr>
        <w:t xml:space="preserve">stringent measures are implemented to control filling of positions including key line function posts to avoid over expenditure on </w:t>
      </w:r>
      <w:proofErr w:type="spellStart"/>
      <w:r w:rsidRPr="00CB69C0">
        <w:rPr>
          <w:rFonts w:cs="Arial"/>
          <w:color w:val="000000" w:themeColor="text1"/>
          <w:sz w:val="24"/>
        </w:rPr>
        <w:t>CoE</w:t>
      </w:r>
      <w:proofErr w:type="spellEnd"/>
      <w:r w:rsidRPr="00CB69C0">
        <w:rPr>
          <w:rFonts w:cs="Arial"/>
          <w:color w:val="000000" w:themeColor="text1"/>
          <w:sz w:val="24"/>
        </w:rPr>
        <w:t>.</w:t>
      </w:r>
    </w:p>
    <w:p w:rsidR="00CB69C0" w:rsidRPr="00CB69C0" w:rsidRDefault="00CB69C0" w:rsidP="00CB69C0">
      <w:pPr>
        <w:pStyle w:val="Address"/>
        <w:spacing w:line="240" w:lineRule="auto"/>
        <w:ind w:left="1418" w:hanging="709"/>
        <w:jc w:val="both"/>
        <w:rPr>
          <w:rFonts w:cs="Arial"/>
          <w:sz w:val="24"/>
        </w:rPr>
      </w:pPr>
    </w:p>
    <w:p w:rsidR="00CB69C0" w:rsidRPr="00CB69C0" w:rsidRDefault="00CB69C0" w:rsidP="00CB69C0">
      <w:pPr>
        <w:pStyle w:val="Address"/>
        <w:spacing w:line="240" w:lineRule="auto"/>
        <w:ind w:left="1418" w:hanging="709"/>
        <w:jc w:val="both"/>
        <w:rPr>
          <w:rFonts w:cs="Arial"/>
          <w:sz w:val="24"/>
        </w:rPr>
      </w:pPr>
      <w:r w:rsidRPr="00CB69C0">
        <w:rPr>
          <w:rFonts w:cs="Arial"/>
          <w:sz w:val="24"/>
        </w:rPr>
        <w:t xml:space="preserve">(d) </w:t>
      </w:r>
      <w:r w:rsidRPr="00CB69C0">
        <w:rPr>
          <w:rFonts w:cs="Arial"/>
          <w:sz w:val="24"/>
        </w:rPr>
        <w:tab/>
        <w:t xml:space="preserve">The period that the </w:t>
      </w:r>
      <w:r w:rsidRPr="00CB69C0">
        <w:rPr>
          <w:rFonts w:cs="Arial"/>
          <w:sz w:val="24"/>
          <w:lang w:val="en-ZA"/>
        </w:rPr>
        <w:t>positions has been vacant for is immaterial as on a monthly basis, Provinces are p</w:t>
      </w:r>
      <w:r w:rsidRPr="00CB69C0">
        <w:rPr>
          <w:rFonts w:cs="Arial"/>
          <w:color w:val="000000" w:themeColor="text1"/>
          <w:sz w:val="24"/>
        </w:rPr>
        <w:t xml:space="preserve">prioritizing filing of posts in accordance with the Annual Recruitment Plan, </w:t>
      </w:r>
      <w:r w:rsidRPr="00CB69C0">
        <w:rPr>
          <w:rFonts w:cs="Arial"/>
          <w:color w:val="000000" w:themeColor="text1"/>
          <w:sz w:val="24"/>
          <w:u w:val="single"/>
        </w:rPr>
        <w:t>where funding permits</w:t>
      </w:r>
      <w:r w:rsidRPr="00CB69C0">
        <w:rPr>
          <w:rFonts w:cs="Arial"/>
          <w:sz w:val="24"/>
        </w:rPr>
        <w:t xml:space="preserve">.  </w:t>
      </w:r>
    </w:p>
    <w:p w:rsidR="00CB69C0" w:rsidRPr="00CB69C0" w:rsidRDefault="00CB69C0" w:rsidP="00CB69C0">
      <w:pPr>
        <w:pStyle w:val="Address"/>
        <w:spacing w:line="240" w:lineRule="auto"/>
        <w:ind w:left="1418" w:hanging="709"/>
        <w:jc w:val="both"/>
        <w:rPr>
          <w:rFonts w:cs="Arial"/>
          <w:sz w:val="24"/>
        </w:rPr>
      </w:pPr>
    </w:p>
    <w:p w:rsidR="00CB69C0" w:rsidRPr="00CB69C0" w:rsidRDefault="00CB69C0" w:rsidP="00CB69C0">
      <w:pPr>
        <w:pStyle w:val="ListParagraph"/>
        <w:ind w:left="1418" w:hanging="709"/>
        <w:contextualSpacing w:val="0"/>
        <w:jc w:val="both"/>
        <w:rPr>
          <w:color w:val="000000" w:themeColor="text1"/>
          <w:sz w:val="24"/>
        </w:rPr>
      </w:pPr>
      <w:r w:rsidRPr="00CB69C0">
        <w:rPr>
          <w:color w:val="000000" w:themeColor="text1"/>
          <w:sz w:val="24"/>
        </w:rPr>
        <w:t xml:space="preserve">(e) </w:t>
      </w:r>
      <w:r w:rsidRPr="00CB69C0">
        <w:rPr>
          <w:color w:val="000000" w:themeColor="text1"/>
          <w:sz w:val="24"/>
        </w:rPr>
        <w:tab/>
        <w:t xml:space="preserve">Each hospital in each Province does have a </w:t>
      </w:r>
      <w:r w:rsidRPr="00CB69C0">
        <w:rPr>
          <w:sz w:val="24"/>
          <w:lang w:val="en-ZA"/>
        </w:rPr>
        <w:t>Human Resources capacity plan compared to the population capacity, however, as mentioned above, due to budget cuts, it is not always possible for the hospital to employ to full capacity but mechanisms are in place to ensure that service delivery is adequately provided at all times</w:t>
      </w:r>
      <w:r w:rsidRPr="00CB69C0">
        <w:rPr>
          <w:color w:val="000000" w:themeColor="text1"/>
          <w:sz w:val="24"/>
        </w:rPr>
        <w:t xml:space="preserve">.  </w:t>
      </w:r>
    </w:p>
    <w:p w:rsidR="00CB69C0" w:rsidRPr="00CB69C0" w:rsidRDefault="00CB69C0" w:rsidP="00CB69C0">
      <w:pPr>
        <w:pStyle w:val="ListParagraph"/>
        <w:ind w:left="0"/>
        <w:contextualSpacing w:val="0"/>
        <w:jc w:val="both"/>
        <w:rPr>
          <w:color w:val="000000" w:themeColor="text1"/>
          <w:sz w:val="24"/>
        </w:rPr>
      </w:pPr>
    </w:p>
    <w:p w:rsidR="00CB69C0" w:rsidRPr="00CB69C0" w:rsidRDefault="00CB69C0" w:rsidP="00CB69C0">
      <w:pPr>
        <w:pStyle w:val="ListParagraph"/>
        <w:ind w:left="709"/>
        <w:contextualSpacing w:val="0"/>
        <w:jc w:val="both"/>
        <w:rPr>
          <w:color w:val="000000" w:themeColor="text1"/>
          <w:sz w:val="24"/>
        </w:rPr>
      </w:pPr>
      <w:r w:rsidRPr="00CB69C0">
        <w:rPr>
          <w:color w:val="000000" w:themeColor="text1"/>
          <w:sz w:val="24"/>
        </w:rPr>
        <w:t xml:space="preserve">To mitigate the above, the Department has introduced several interventions to address the shortage of health workers in health facilities, which amongst others includes: </w:t>
      </w:r>
    </w:p>
    <w:p w:rsidR="00CB69C0" w:rsidRPr="00CB69C0" w:rsidRDefault="00CB69C0" w:rsidP="00CB69C0">
      <w:pPr>
        <w:pStyle w:val="ListParagraph"/>
        <w:ind w:left="709"/>
        <w:contextualSpacing w:val="0"/>
        <w:jc w:val="both"/>
        <w:rPr>
          <w:color w:val="000000" w:themeColor="text1"/>
          <w:sz w:val="24"/>
        </w:rPr>
      </w:pPr>
      <w:r w:rsidRPr="00CB69C0">
        <w:rPr>
          <w:color w:val="000000" w:themeColor="text1"/>
          <w:sz w:val="24"/>
        </w:rPr>
        <w:t xml:space="preserve"> </w:t>
      </w:r>
    </w:p>
    <w:p w:rsidR="00CB69C0" w:rsidRPr="00CB69C0" w:rsidRDefault="00CB69C0" w:rsidP="00130BD1">
      <w:pPr>
        <w:numPr>
          <w:ilvl w:val="0"/>
          <w:numId w:val="1"/>
        </w:numPr>
        <w:tabs>
          <w:tab w:val="clear" w:pos="720"/>
        </w:tabs>
        <w:spacing w:after="240"/>
        <w:ind w:left="709" w:firstLine="0"/>
        <w:jc w:val="both"/>
        <w:rPr>
          <w:color w:val="000000" w:themeColor="text1"/>
          <w:sz w:val="24"/>
          <w:u w:val="single"/>
        </w:rPr>
      </w:pPr>
      <w:r w:rsidRPr="00CB69C0">
        <w:rPr>
          <w:color w:val="000000" w:themeColor="text1"/>
          <w:sz w:val="24"/>
        </w:rPr>
        <w:t xml:space="preserve">Prioritisation of the posts in the Annual Recruitment Plan – </w:t>
      </w:r>
      <w:r w:rsidRPr="00CB69C0">
        <w:rPr>
          <w:color w:val="000000" w:themeColor="text1"/>
          <w:sz w:val="24"/>
          <w:u w:val="single"/>
        </w:rPr>
        <w:t xml:space="preserve">where funding      </w:t>
      </w:r>
    </w:p>
    <w:p w:rsidR="00CB69C0" w:rsidRPr="00CB69C0" w:rsidRDefault="00CB69C0" w:rsidP="00CB69C0">
      <w:pPr>
        <w:spacing w:after="240"/>
        <w:ind w:left="709" w:firstLine="720"/>
        <w:jc w:val="both"/>
        <w:rPr>
          <w:color w:val="000000" w:themeColor="text1"/>
          <w:sz w:val="24"/>
          <w:u w:val="single"/>
        </w:rPr>
      </w:pPr>
      <w:proofErr w:type="gramStart"/>
      <w:r w:rsidRPr="00CB69C0">
        <w:rPr>
          <w:color w:val="000000" w:themeColor="text1"/>
          <w:sz w:val="24"/>
          <w:u w:val="single"/>
        </w:rPr>
        <w:t>permits</w:t>
      </w:r>
      <w:proofErr w:type="gramEnd"/>
    </w:p>
    <w:p w:rsidR="00CB69C0" w:rsidRPr="00CB69C0" w:rsidRDefault="00CB69C0" w:rsidP="00130BD1">
      <w:pPr>
        <w:numPr>
          <w:ilvl w:val="0"/>
          <w:numId w:val="1"/>
        </w:numPr>
        <w:tabs>
          <w:tab w:val="clear" w:pos="720"/>
        </w:tabs>
        <w:spacing w:after="240"/>
        <w:ind w:left="709" w:firstLine="0"/>
        <w:jc w:val="both"/>
        <w:rPr>
          <w:color w:val="000000" w:themeColor="text1"/>
          <w:sz w:val="24"/>
        </w:rPr>
      </w:pPr>
      <w:r w:rsidRPr="00CB69C0">
        <w:rPr>
          <w:color w:val="000000" w:themeColor="text1"/>
          <w:sz w:val="24"/>
        </w:rPr>
        <w:t>Prioritisation of the posts for conditional grant funding</w:t>
      </w:r>
    </w:p>
    <w:p w:rsidR="00CB69C0" w:rsidRPr="00CB69C0" w:rsidRDefault="00CB69C0" w:rsidP="00130BD1">
      <w:pPr>
        <w:numPr>
          <w:ilvl w:val="0"/>
          <w:numId w:val="1"/>
        </w:numPr>
        <w:tabs>
          <w:tab w:val="clear" w:pos="720"/>
        </w:tabs>
        <w:spacing w:after="240"/>
        <w:ind w:left="709" w:firstLine="0"/>
        <w:jc w:val="both"/>
        <w:rPr>
          <w:color w:val="000000" w:themeColor="text1"/>
          <w:sz w:val="24"/>
        </w:rPr>
      </w:pPr>
      <w:r w:rsidRPr="00CB69C0">
        <w:rPr>
          <w:color w:val="000000" w:themeColor="text1"/>
          <w:sz w:val="24"/>
        </w:rPr>
        <w:t>Filling of replacement posts considered and approved weekly</w:t>
      </w:r>
    </w:p>
    <w:p w:rsidR="00CB69C0" w:rsidRPr="00CB69C0" w:rsidRDefault="00CB69C0" w:rsidP="00130BD1">
      <w:pPr>
        <w:numPr>
          <w:ilvl w:val="0"/>
          <w:numId w:val="1"/>
        </w:numPr>
        <w:tabs>
          <w:tab w:val="clear" w:pos="720"/>
        </w:tabs>
        <w:spacing w:after="240"/>
        <w:ind w:left="709" w:firstLine="0"/>
        <w:jc w:val="both"/>
        <w:rPr>
          <w:color w:val="000000" w:themeColor="text1"/>
          <w:sz w:val="24"/>
        </w:rPr>
      </w:pPr>
      <w:r w:rsidRPr="00CB69C0">
        <w:rPr>
          <w:color w:val="000000" w:themeColor="text1"/>
          <w:sz w:val="24"/>
        </w:rPr>
        <w:t>Advertisements published National wide through print media</w:t>
      </w:r>
    </w:p>
    <w:p w:rsidR="00CB69C0" w:rsidRPr="00CB69C0" w:rsidRDefault="00CB69C0" w:rsidP="00130BD1">
      <w:pPr>
        <w:numPr>
          <w:ilvl w:val="0"/>
          <w:numId w:val="1"/>
        </w:numPr>
        <w:tabs>
          <w:tab w:val="clear" w:pos="720"/>
        </w:tabs>
        <w:spacing w:after="240"/>
        <w:ind w:left="709" w:firstLine="0"/>
        <w:jc w:val="both"/>
        <w:rPr>
          <w:color w:val="000000" w:themeColor="text1"/>
          <w:sz w:val="24"/>
        </w:rPr>
      </w:pPr>
      <w:r w:rsidRPr="00CB69C0">
        <w:rPr>
          <w:color w:val="000000" w:themeColor="text1"/>
          <w:sz w:val="24"/>
        </w:rPr>
        <w:t xml:space="preserve">A dedicated Registrar Programme to train and produce in-house Medical </w:t>
      </w:r>
    </w:p>
    <w:p w:rsidR="00CB69C0" w:rsidRPr="00CB69C0" w:rsidRDefault="00CB69C0" w:rsidP="00CB69C0">
      <w:pPr>
        <w:spacing w:after="240"/>
        <w:ind w:left="709" w:firstLine="720"/>
        <w:jc w:val="both"/>
        <w:rPr>
          <w:color w:val="000000" w:themeColor="text1"/>
          <w:sz w:val="24"/>
        </w:rPr>
      </w:pPr>
      <w:r w:rsidRPr="00CB69C0">
        <w:rPr>
          <w:color w:val="000000" w:themeColor="text1"/>
          <w:sz w:val="24"/>
        </w:rPr>
        <w:t>Specialists</w:t>
      </w:r>
    </w:p>
    <w:p w:rsidR="00CB69C0" w:rsidRPr="00CB69C0" w:rsidRDefault="00CB69C0" w:rsidP="00130BD1">
      <w:pPr>
        <w:numPr>
          <w:ilvl w:val="0"/>
          <w:numId w:val="1"/>
        </w:numPr>
        <w:tabs>
          <w:tab w:val="clear" w:pos="720"/>
        </w:tabs>
        <w:spacing w:after="240"/>
        <w:ind w:left="709" w:firstLine="0"/>
        <w:jc w:val="both"/>
        <w:rPr>
          <w:sz w:val="24"/>
        </w:rPr>
      </w:pPr>
      <w:r w:rsidRPr="00CB69C0">
        <w:rPr>
          <w:color w:val="000000" w:themeColor="text1"/>
          <w:sz w:val="24"/>
        </w:rPr>
        <w:t>Provision of internship and community service programmes.</w:t>
      </w:r>
    </w:p>
    <w:p w:rsidR="00CA70E9" w:rsidRPr="00CB69C0" w:rsidRDefault="00CA70E9" w:rsidP="0023394D">
      <w:pPr>
        <w:pStyle w:val="ListParagraph"/>
        <w:ind w:left="0"/>
        <w:jc w:val="both"/>
        <w:rPr>
          <w:bCs/>
          <w:sz w:val="24"/>
          <w:lang w:val="en-US"/>
        </w:rPr>
      </w:pPr>
    </w:p>
    <w:p w:rsidR="00E238C2" w:rsidRPr="005E7BF6" w:rsidRDefault="00E238C2" w:rsidP="00CA70E9">
      <w:pPr>
        <w:pStyle w:val="BodyText"/>
        <w:rPr>
          <w:b/>
          <w:bCs/>
          <w:sz w:val="24"/>
          <w:lang w:val="en-GB"/>
        </w:rPr>
      </w:pPr>
      <w:bookmarkStart w:id="3" w:name="_GoBack"/>
      <w:bookmarkEnd w:id="3"/>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AC" w:rsidRDefault="001914AC">
      <w:r>
        <w:separator/>
      </w:r>
    </w:p>
  </w:endnote>
  <w:endnote w:type="continuationSeparator" w:id="0">
    <w:p w:rsidR="001914AC" w:rsidRDefault="00191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13E4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13E4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D5A8A">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AC" w:rsidRDefault="001914AC">
      <w:r>
        <w:separator/>
      </w:r>
    </w:p>
  </w:footnote>
  <w:footnote w:type="continuationSeparator" w:id="0">
    <w:p w:rsidR="001914AC" w:rsidRDefault="00191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12D8"/>
    <w:multiLevelType w:val="hybridMultilevel"/>
    <w:tmpl w:val="45BA5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B04AED"/>
    <w:multiLevelType w:val="hybridMultilevel"/>
    <w:tmpl w:val="601479F2"/>
    <w:lvl w:ilvl="0" w:tplc="C5828B78">
      <w:start w:val="1"/>
      <w:numFmt w:val="bullet"/>
      <w:lvlText w:val="•"/>
      <w:lvlJc w:val="left"/>
      <w:pPr>
        <w:tabs>
          <w:tab w:val="num" w:pos="720"/>
        </w:tabs>
        <w:ind w:left="720" w:hanging="360"/>
      </w:pPr>
      <w:rPr>
        <w:rFonts w:ascii="Arial" w:hAnsi="Arial" w:cs="Times New Roman" w:hint="default"/>
      </w:rPr>
    </w:lvl>
    <w:lvl w:ilvl="1" w:tplc="F1C4B296">
      <w:start w:val="1"/>
      <w:numFmt w:val="bullet"/>
      <w:lvlText w:val="•"/>
      <w:lvlJc w:val="left"/>
      <w:pPr>
        <w:tabs>
          <w:tab w:val="num" w:pos="1440"/>
        </w:tabs>
        <w:ind w:left="1440" w:hanging="360"/>
      </w:pPr>
      <w:rPr>
        <w:rFonts w:ascii="Arial" w:hAnsi="Arial" w:cs="Times New Roman" w:hint="default"/>
      </w:rPr>
    </w:lvl>
    <w:lvl w:ilvl="2" w:tplc="DB40BF1C">
      <w:start w:val="1"/>
      <w:numFmt w:val="bullet"/>
      <w:lvlText w:val="•"/>
      <w:lvlJc w:val="left"/>
      <w:pPr>
        <w:tabs>
          <w:tab w:val="num" w:pos="2160"/>
        </w:tabs>
        <w:ind w:left="2160" w:hanging="360"/>
      </w:pPr>
      <w:rPr>
        <w:rFonts w:ascii="Arial" w:hAnsi="Arial" w:cs="Times New Roman" w:hint="default"/>
      </w:rPr>
    </w:lvl>
    <w:lvl w:ilvl="3" w:tplc="3A8803E6">
      <w:start w:val="1"/>
      <w:numFmt w:val="bullet"/>
      <w:lvlText w:val="•"/>
      <w:lvlJc w:val="left"/>
      <w:pPr>
        <w:tabs>
          <w:tab w:val="num" w:pos="2880"/>
        </w:tabs>
        <w:ind w:left="2880" w:hanging="360"/>
      </w:pPr>
      <w:rPr>
        <w:rFonts w:ascii="Arial" w:hAnsi="Arial" w:cs="Times New Roman" w:hint="default"/>
      </w:rPr>
    </w:lvl>
    <w:lvl w:ilvl="4" w:tplc="D278FB22">
      <w:start w:val="1"/>
      <w:numFmt w:val="bullet"/>
      <w:lvlText w:val="•"/>
      <w:lvlJc w:val="left"/>
      <w:pPr>
        <w:tabs>
          <w:tab w:val="num" w:pos="3600"/>
        </w:tabs>
        <w:ind w:left="3600" w:hanging="360"/>
      </w:pPr>
      <w:rPr>
        <w:rFonts w:ascii="Arial" w:hAnsi="Arial" w:cs="Times New Roman" w:hint="default"/>
      </w:rPr>
    </w:lvl>
    <w:lvl w:ilvl="5" w:tplc="EBA25B92">
      <w:start w:val="1"/>
      <w:numFmt w:val="bullet"/>
      <w:lvlText w:val="•"/>
      <w:lvlJc w:val="left"/>
      <w:pPr>
        <w:tabs>
          <w:tab w:val="num" w:pos="4320"/>
        </w:tabs>
        <w:ind w:left="4320" w:hanging="360"/>
      </w:pPr>
      <w:rPr>
        <w:rFonts w:ascii="Arial" w:hAnsi="Arial" w:cs="Times New Roman" w:hint="default"/>
      </w:rPr>
    </w:lvl>
    <w:lvl w:ilvl="6" w:tplc="587037DA">
      <w:start w:val="1"/>
      <w:numFmt w:val="bullet"/>
      <w:lvlText w:val="•"/>
      <w:lvlJc w:val="left"/>
      <w:pPr>
        <w:tabs>
          <w:tab w:val="num" w:pos="5040"/>
        </w:tabs>
        <w:ind w:left="5040" w:hanging="360"/>
      </w:pPr>
      <w:rPr>
        <w:rFonts w:ascii="Arial" w:hAnsi="Arial" w:cs="Times New Roman" w:hint="default"/>
      </w:rPr>
    </w:lvl>
    <w:lvl w:ilvl="7" w:tplc="37B0E4E0">
      <w:start w:val="1"/>
      <w:numFmt w:val="bullet"/>
      <w:lvlText w:val="•"/>
      <w:lvlJc w:val="left"/>
      <w:pPr>
        <w:tabs>
          <w:tab w:val="num" w:pos="5760"/>
        </w:tabs>
        <w:ind w:left="5760" w:hanging="360"/>
      </w:pPr>
      <w:rPr>
        <w:rFonts w:ascii="Arial" w:hAnsi="Arial" w:cs="Times New Roman" w:hint="default"/>
      </w:rPr>
    </w:lvl>
    <w:lvl w:ilvl="8" w:tplc="24505AA4">
      <w:start w:val="1"/>
      <w:numFmt w:val="bullet"/>
      <w:lvlText w:val="•"/>
      <w:lvlJc w:val="left"/>
      <w:pPr>
        <w:tabs>
          <w:tab w:val="num" w:pos="6480"/>
        </w:tabs>
        <w:ind w:left="6480" w:hanging="360"/>
      </w:pPr>
      <w:rPr>
        <w:rFonts w:ascii="Arial" w:hAnsi="Arial" w:cs="Times New Roman" w:hint="default"/>
      </w:rPr>
    </w:lvl>
  </w:abstractNum>
  <w:abstractNum w:abstractNumId="2">
    <w:nsid w:val="4CB4629B"/>
    <w:multiLevelType w:val="hybridMultilevel"/>
    <w:tmpl w:val="505E9B7E"/>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4981"/>
    <w:rsid w:val="00125A56"/>
    <w:rsid w:val="00130BD1"/>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14AC"/>
    <w:rsid w:val="001934EC"/>
    <w:rsid w:val="001976A7"/>
    <w:rsid w:val="001A5759"/>
    <w:rsid w:val="001A5BBB"/>
    <w:rsid w:val="001B62F5"/>
    <w:rsid w:val="001B67CA"/>
    <w:rsid w:val="001B762B"/>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3E44"/>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5A8A"/>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5D44"/>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69C0"/>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CB69C0"/>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2022-05-11T08:27:00Z</dcterms:created>
  <dcterms:modified xsi:type="dcterms:W3CDTF">2022-05-11T08:27:00Z</dcterms:modified>
</cp:coreProperties>
</file>