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5869E" w14:textId="77777777" w:rsidR="00AA5CBF" w:rsidRPr="004D116D" w:rsidRDefault="00AA5CBF" w:rsidP="00AA5CBF">
      <w:pPr>
        <w:spacing w:line="276" w:lineRule="auto"/>
        <w:ind w:left="-142" w:right="328"/>
        <w:jc w:val="center"/>
        <w:rPr>
          <w:szCs w:val="24"/>
        </w:rPr>
      </w:pPr>
      <w:r w:rsidRPr="004D116D">
        <w:rPr>
          <w:noProof/>
          <w:szCs w:val="24"/>
          <w:lang w:val="en-ZA" w:eastAsia="en-ZA"/>
        </w:rPr>
        <w:drawing>
          <wp:inline distT="0" distB="0" distL="0" distR="0" wp14:anchorId="06928608" wp14:editId="3E2CA491">
            <wp:extent cx="1438275" cy="1809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A3FE0" w14:textId="77777777" w:rsidR="00AA5CBF" w:rsidRPr="004D116D" w:rsidRDefault="00AA5CBF" w:rsidP="00AA5CBF">
      <w:pPr>
        <w:spacing w:line="276" w:lineRule="auto"/>
        <w:ind w:left="426" w:right="328" w:firstLine="720"/>
        <w:rPr>
          <w:rFonts w:cs="Arial"/>
          <w:b/>
          <w:szCs w:val="24"/>
        </w:rPr>
      </w:pPr>
    </w:p>
    <w:p w14:paraId="79B16477" w14:textId="77777777" w:rsidR="00AA5CBF" w:rsidRPr="004D116D" w:rsidRDefault="00AA5CBF" w:rsidP="00AA5CBF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4D116D">
        <w:rPr>
          <w:rFonts w:cs="Arial"/>
          <w:b/>
          <w:szCs w:val="24"/>
        </w:rPr>
        <w:t>DEPARTMENT: PUBLIC ENTERPRISES</w:t>
      </w:r>
    </w:p>
    <w:p w14:paraId="25681F3F" w14:textId="77777777" w:rsidR="00AA5CBF" w:rsidRPr="004D116D" w:rsidRDefault="00AA5CBF" w:rsidP="00AA5CBF">
      <w:pPr>
        <w:spacing w:line="276" w:lineRule="auto"/>
        <w:ind w:right="328"/>
        <w:jc w:val="center"/>
        <w:rPr>
          <w:rFonts w:cs="Arial"/>
          <w:b/>
          <w:szCs w:val="24"/>
        </w:rPr>
      </w:pPr>
      <w:r w:rsidRPr="004D116D">
        <w:rPr>
          <w:rFonts w:cs="Arial"/>
          <w:b/>
          <w:szCs w:val="24"/>
        </w:rPr>
        <w:t>REPUBLIC OF SOUTH AFRICA</w:t>
      </w:r>
    </w:p>
    <w:p w14:paraId="26836AA9" w14:textId="77777777" w:rsidR="002D7AC9" w:rsidRDefault="002D7AC9" w:rsidP="002D7AC9">
      <w:pPr>
        <w:spacing w:line="276" w:lineRule="auto"/>
        <w:ind w:right="328"/>
        <w:rPr>
          <w:rFonts w:cs="Arial"/>
          <w:b/>
          <w:szCs w:val="24"/>
        </w:rPr>
      </w:pPr>
    </w:p>
    <w:p w14:paraId="1A9FA6C5" w14:textId="77777777" w:rsidR="00AA5CBF" w:rsidRPr="004D116D" w:rsidRDefault="00AA5CBF" w:rsidP="002D7AC9">
      <w:pPr>
        <w:spacing w:line="276" w:lineRule="auto"/>
        <w:ind w:right="328"/>
        <w:rPr>
          <w:rFonts w:cs="Arial"/>
          <w:b/>
          <w:szCs w:val="24"/>
        </w:rPr>
      </w:pPr>
      <w:r w:rsidRPr="004D116D">
        <w:rPr>
          <w:rFonts w:cs="Arial"/>
          <w:b/>
          <w:szCs w:val="24"/>
        </w:rPr>
        <w:t>NATIONAL ASSEMBLY</w:t>
      </w:r>
    </w:p>
    <w:p w14:paraId="79CD9114" w14:textId="77777777" w:rsidR="00AA5CBF" w:rsidRPr="004D116D" w:rsidRDefault="00AA5CBF" w:rsidP="00AA5CBF">
      <w:pPr>
        <w:spacing w:line="276" w:lineRule="auto"/>
        <w:ind w:left="426" w:right="328"/>
        <w:rPr>
          <w:rFonts w:cs="Arial"/>
          <w:b/>
          <w:bCs/>
          <w:szCs w:val="24"/>
        </w:rPr>
      </w:pPr>
    </w:p>
    <w:p w14:paraId="5E43B156" w14:textId="77777777" w:rsidR="00AA5CBF" w:rsidRPr="004D116D" w:rsidRDefault="00AA5CBF" w:rsidP="00AA5CBF">
      <w:pPr>
        <w:spacing w:line="276" w:lineRule="auto"/>
        <w:ind w:right="328"/>
        <w:rPr>
          <w:rFonts w:cs="Arial"/>
          <w:b/>
          <w:bCs/>
          <w:szCs w:val="24"/>
        </w:rPr>
      </w:pPr>
      <w:r w:rsidRPr="004D116D">
        <w:rPr>
          <w:rFonts w:cs="Arial"/>
          <w:b/>
          <w:bCs/>
          <w:szCs w:val="24"/>
        </w:rPr>
        <w:t xml:space="preserve">QUESTION NO.: </w:t>
      </w:r>
      <w:r>
        <w:rPr>
          <w:rFonts w:cs="Arial"/>
          <w:b/>
          <w:bCs/>
          <w:szCs w:val="24"/>
        </w:rPr>
        <w:t>1270</w:t>
      </w:r>
    </w:p>
    <w:p w14:paraId="65F720DB" w14:textId="77777777" w:rsidR="00AA5CBF" w:rsidRPr="004D116D" w:rsidRDefault="00AA5CBF" w:rsidP="00AA5CBF">
      <w:pPr>
        <w:spacing w:line="276" w:lineRule="auto"/>
        <w:ind w:right="328"/>
        <w:rPr>
          <w:rFonts w:cs="Arial"/>
          <w:b/>
          <w:bCs/>
          <w:szCs w:val="24"/>
        </w:rPr>
      </w:pPr>
      <w:bookmarkStart w:id="0" w:name="_GoBack"/>
      <w:bookmarkEnd w:id="0"/>
    </w:p>
    <w:p w14:paraId="54B471FC" w14:textId="77777777" w:rsidR="00AA5CBF" w:rsidRPr="004D116D" w:rsidRDefault="00AA5CBF" w:rsidP="00AA5CBF">
      <w:pPr>
        <w:tabs>
          <w:tab w:val="left" w:pos="7088"/>
        </w:tabs>
        <w:spacing w:line="276" w:lineRule="auto"/>
        <w:ind w:left="426" w:right="328"/>
        <w:rPr>
          <w:b/>
          <w:szCs w:val="24"/>
        </w:rPr>
      </w:pPr>
    </w:p>
    <w:p w14:paraId="2985B720" w14:textId="77777777" w:rsidR="00AA5CBF" w:rsidRDefault="00AA5CBF" w:rsidP="00AA5CBF">
      <w:pPr>
        <w:ind w:left="709" w:hanging="709"/>
        <w:jc w:val="both"/>
        <w:rPr>
          <w:rFonts w:ascii="Calibri" w:hAnsi="Calibri"/>
          <w:sz w:val="22"/>
          <w:lang w:val="en-ZA" w:eastAsia="en-US"/>
        </w:rPr>
      </w:pPr>
      <w:r>
        <w:rPr>
          <w:b/>
          <w:bCs/>
          <w:lang w:val="en-ZA"/>
        </w:rPr>
        <w:t>Mr E J Marais: (DA) to ask the Minister of Public Enterprises:</w:t>
      </w:r>
    </w:p>
    <w:p w14:paraId="09CF13A8" w14:textId="77777777" w:rsidR="00AA5CBF" w:rsidRPr="008E488B" w:rsidRDefault="00AA5CBF" w:rsidP="008E488B">
      <w:pPr>
        <w:jc w:val="both"/>
        <w:rPr>
          <w:lang w:val="en-ZA"/>
        </w:rPr>
      </w:pPr>
      <w:r>
        <w:rPr>
          <w:lang w:val="en-ZA"/>
        </w:rPr>
        <w:t>(a) Why does his department have a 20% shareholding in a certain company (West Coast Resources) and (b) what are the names of the persons within (</w:t>
      </w:r>
      <w:proofErr w:type="spellStart"/>
      <w:r>
        <w:rPr>
          <w:lang w:val="en-ZA"/>
        </w:rPr>
        <w:t>i</w:t>
      </w:r>
      <w:proofErr w:type="spellEnd"/>
      <w:r>
        <w:rPr>
          <w:lang w:val="en-ZA"/>
        </w:rPr>
        <w:t>) his departmental structure or organisation who are holding the specified shares?</w:t>
      </w:r>
      <w:r w:rsidR="008E488B">
        <w:rPr>
          <w:lang w:val="en-ZA"/>
        </w:rPr>
        <w:t xml:space="preserve"> </w:t>
      </w:r>
      <w:r>
        <w:rPr>
          <w:lang w:val="en-ZA"/>
        </w:rPr>
        <w:t>NW 1370E</w:t>
      </w:r>
    </w:p>
    <w:p w14:paraId="6831BD04" w14:textId="77777777" w:rsidR="00AA5CBF" w:rsidRDefault="00AA5CBF" w:rsidP="00AA5CBF">
      <w:pPr>
        <w:pStyle w:val="NormalWeb"/>
        <w:spacing w:after="0" w:line="360" w:lineRule="auto"/>
        <w:rPr>
          <w:rFonts w:ascii="Arial" w:hAnsi="Arial" w:cs="Arial"/>
          <w:bCs/>
        </w:rPr>
      </w:pPr>
    </w:p>
    <w:p w14:paraId="572D2A01" w14:textId="77777777" w:rsidR="00AA5CBF" w:rsidRDefault="00AA5CBF" w:rsidP="008E488B">
      <w:pPr>
        <w:pStyle w:val="NormalWeb"/>
        <w:spacing w:after="0" w:line="360" w:lineRule="auto"/>
        <w:jc w:val="both"/>
        <w:rPr>
          <w:rFonts w:ascii="Arial" w:hAnsi="Arial" w:cs="Arial"/>
          <w:b/>
          <w:bCs/>
        </w:rPr>
      </w:pPr>
      <w:r w:rsidRPr="00BF0A3F">
        <w:rPr>
          <w:rFonts w:ascii="Arial" w:hAnsi="Arial" w:cs="Arial"/>
          <w:b/>
          <w:bCs/>
        </w:rPr>
        <w:t xml:space="preserve">REPLY: </w:t>
      </w:r>
    </w:p>
    <w:p w14:paraId="7AB1433F" w14:textId="77777777" w:rsidR="00705586" w:rsidRDefault="00705586" w:rsidP="008E488B">
      <w:pPr>
        <w:pStyle w:val="NormalWeb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7D6DD4C0" w14:textId="77777777" w:rsidR="00AA5CBF" w:rsidRDefault="00705586" w:rsidP="008E488B">
      <w:pPr>
        <w:pStyle w:val="NormalWeb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DPE response</w:t>
      </w:r>
    </w:p>
    <w:p w14:paraId="7987B62B" w14:textId="77777777" w:rsidR="008E488B" w:rsidRPr="00705586" w:rsidRDefault="008E488B" w:rsidP="008E488B">
      <w:pPr>
        <w:pStyle w:val="NormalWeb"/>
        <w:spacing w:after="0" w:line="360" w:lineRule="auto"/>
        <w:jc w:val="both"/>
        <w:rPr>
          <w:rFonts w:ascii="Arial" w:hAnsi="Arial" w:cs="Arial"/>
          <w:bCs/>
        </w:rPr>
      </w:pPr>
    </w:p>
    <w:p w14:paraId="66648987" w14:textId="77777777" w:rsidR="00AA5CBF" w:rsidRDefault="00AA5CBF" w:rsidP="008E488B">
      <w:pPr>
        <w:pStyle w:val="NormalWeb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 xml:space="preserve">In 2007 </w:t>
      </w:r>
      <w:r w:rsidRPr="00A641E1">
        <w:rPr>
          <w:rFonts w:ascii="Arial" w:hAnsi="Arial" w:cs="Arial"/>
          <w:bCs/>
        </w:rPr>
        <w:t>the then Department of Minerals and Energy which is currently known as the Department of Mineral Resources (“DMR”) entered into a Memorandum of Agreement (“</w:t>
      </w:r>
      <w:proofErr w:type="spellStart"/>
      <w:r w:rsidRPr="00A641E1">
        <w:rPr>
          <w:rFonts w:ascii="Arial" w:hAnsi="Arial" w:cs="Arial"/>
          <w:bCs/>
        </w:rPr>
        <w:t>MoA</w:t>
      </w:r>
      <w:proofErr w:type="spellEnd"/>
      <w:r w:rsidRPr="00A641E1">
        <w:rPr>
          <w:rFonts w:ascii="Arial" w:hAnsi="Arial" w:cs="Arial"/>
          <w:bCs/>
        </w:rPr>
        <w:t>”) with De Beers in connection with the State interest pertaining to lease consideration, claims and other obligations payable to the State in terms of the 1979 lease (“</w:t>
      </w:r>
      <w:proofErr w:type="spellStart"/>
      <w:r w:rsidRPr="00A641E1">
        <w:rPr>
          <w:rFonts w:ascii="Arial" w:hAnsi="Arial" w:cs="Arial"/>
          <w:bCs/>
        </w:rPr>
        <w:t>Cullinan</w:t>
      </w:r>
      <w:proofErr w:type="spellEnd"/>
      <w:r w:rsidRPr="00A641E1">
        <w:rPr>
          <w:rFonts w:ascii="Arial" w:hAnsi="Arial" w:cs="Arial"/>
          <w:bCs/>
        </w:rPr>
        <w:t xml:space="preserve"> Lease”) and the 1990 lease (“Venetia Lease”).</w:t>
      </w:r>
      <w:proofErr w:type="gramEnd"/>
      <w:r w:rsidRPr="00A641E1">
        <w:rPr>
          <w:rFonts w:ascii="Arial" w:hAnsi="Arial" w:cs="Arial"/>
          <w:bCs/>
        </w:rPr>
        <w:t xml:space="preserve">  The </w:t>
      </w:r>
      <w:proofErr w:type="spellStart"/>
      <w:r w:rsidRPr="00A641E1">
        <w:rPr>
          <w:rFonts w:ascii="Arial" w:hAnsi="Arial" w:cs="Arial"/>
          <w:bCs/>
        </w:rPr>
        <w:t>Cullinan</w:t>
      </w:r>
      <w:proofErr w:type="spellEnd"/>
      <w:r w:rsidRPr="00A641E1">
        <w:rPr>
          <w:rFonts w:ascii="Arial" w:hAnsi="Arial" w:cs="Arial"/>
          <w:bCs/>
        </w:rPr>
        <w:t xml:space="preserve"> Lease and the Venetia Lease collectively </w:t>
      </w:r>
      <w:proofErr w:type="gramStart"/>
      <w:r w:rsidRPr="00A641E1">
        <w:rPr>
          <w:rFonts w:ascii="Arial" w:hAnsi="Arial" w:cs="Arial"/>
          <w:bCs/>
        </w:rPr>
        <w:t>will be referred</w:t>
      </w:r>
      <w:proofErr w:type="gramEnd"/>
      <w:r w:rsidRPr="00A641E1">
        <w:rPr>
          <w:rFonts w:ascii="Arial" w:hAnsi="Arial" w:cs="Arial"/>
          <w:bCs/>
        </w:rPr>
        <w:t xml:space="preserve"> to as “Lease Agreements”. </w:t>
      </w:r>
    </w:p>
    <w:p w14:paraId="39FCEE43" w14:textId="77777777" w:rsidR="00705586" w:rsidRPr="00A641E1" w:rsidRDefault="00705586" w:rsidP="008E488B">
      <w:pPr>
        <w:pStyle w:val="NormalWeb"/>
        <w:spacing w:after="0" w:line="360" w:lineRule="auto"/>
        <w:ind w:left="720"/>
        <w:jc w:val="both"/>
        <w:rPr>
          <w:rFonts w:ascii="Arial" w:hAnsi="Arial" w:cs="Arial"/>
          <w:bCs/>
        </w:rPr>
      </w:pPr>
    </w:p>
    <w:p w14:paraId="374D6199" w14:textId="77777777" w:rsidR="00AA5CBF" w:rsidRPr="00A641E1" w:rsidRDefault="00AA5CBF" w:rsidP="008E488B">
      <w:pPr>
        <w:pStyle w:val="NormalWeb"/>
        <w:spacing w:line="360" w:lineRule="auto"/>
        <w:ind w:left="720"/>
        <w:jc w:val="both"/>
        <w:rPr>
          <w:rFonts w:ascii="Arial" w:hAnsi="Arial" w:cs="Arial"/>
          <w:bCs/>
        </w:rPr>
      </w:pPr>
      <w:r w:rsidRPr="00A641E1">
        <w:rPr>
          <w:rFonts w:ascii="Arial" w:hAnsi="Arial" w:cs="Arial"/>
          <w:bCs/>
        </w:rPr>
        <w:t xml:space="preserve">Prior to the enactment of the Minerals Act of 1991 (“Minerals Act”) and as inferred by the </w:t>
      </w:r>
      <w:proofErr w:type="spellStart"/>
      <w:r w:rsidRPr="00A641E1">
        <w:rPr>
          <w:rFonts w:ascii="Arial" w:hAnsi="Arial" w:cs="Arial"/>
          <w:bCs/>
        </w:rPr>
        <w:t>MoA</w:t>
      </w:r>
      <w:proofErr w:type="spellEnd"/>
      <w:r w:rsidRPr="00A641E1">
        <w:rPr>
          <w:rFonts w:ascii="Arial" w:hAnsi="Arial" w:cs="Arial"/>
          <w:bCs/>
        </w:rPr>
        <w:t>, the State had an uncontested interest and claims which were payable and arisi</w:t>
      </w:r>
      <w:r>
        <w:rPr>
          <w:rFonts w:ascii="Arial" w:hAnsi="Arial" w:cs="Arial"/>
          <w:bCs/>
        </w:rPr>
        <w:t xml:space="preserve">ng out of the Lease Agreements. </w:t>
      </w:r>
      <w:r w:rsidRPr="00A641E1">
        <w:rPr>
          <w:rFonts w:ascii="Arial" w:hAnsi="Arial" w:cs="Arial"/>
          <w:bCs/>
        </w:rPr>
        <w:t xml:space="preserve">However, once the Minerals Act </w:t>
      </w:r>
      <w:proofErr w:type="gramStart"/>
      <w:r w:rsidRPr="00A641E1">
        <w:rPr>
          <w:rFonts w:ascii="Arial" w:hAnsi="Arial" w:cs="Arial"/>
          <w:bCs/>
        </w:rPr>
        <w:t>was enacted</w:t>
      </w:r>
      <w:proofErr w:type="gramEnd"/>
      <w:r w:rsidRPr="00A641E1">
        <w:rPr>
          <w:rFonts w:ascii="Arial" w:hAnsi="Arial" w:cs="Arial"/>
          <w:bCs/>
        </w:rPr>
        <w:t>, De Beers contested the State interest and claims under the Lease Agreements and contended that the State interest and claims were no longer payable.</w:t>
      </w:r>
    </w:p>
    <w:p w14:paraId="2EA5FB95" w14:textId="77777777" w:rsidR="00AA5CBF" w:rsidRPr="00A641E1" w:rsidRDefault="00AA5CBF" w:rsidP="008E488B">
      <w:pPr>
        <w:pStyle w:val="NormalWeb"/>
        <w:spacing w:line="360" w:lineRule="auto"/>
        <w:jc w:val="both"/>
        <w:rPr>
          <w:rFonts w:ascii="Arial" w:hAnsi="Arial" w:cs="Arial"/>
          <w:bCs/>
        </w:rPr>
      </w:pPr>
      <w:r w:rsidRPr="00A641E1">
        <w:rPr>
          <w:rFonts w:ascii="Arial" w:hAnsi="Arial" w:cs="Arial"/>
          <w:bCs/>
        </w:rPr>
        <w:t>On the other hand, the State was of the firm view that the coming into effect of the Minerals Act does not extinguish its rights flowin</w:t>
      </w:r>
      <w:r>
        <w:rPr>
          <w:rFonts w:ascii="Arial" w:hAnsi="Arial" w:cs="Arial"/>
          <w:bCs/>
        </w:rPr>
        <w:t xml:space="preserve">g out of the Lease Agreements. </w:t>
      </w:r>
      <w:proofErr w:type="gramStart"/>
      <w:r w:rsidRPr="00A641E1">
        <w:rPr>
          <w:rFonts w:ascii="Arial" w:hAnsi="Arial" w:cs="Arial"/>
          <w:bCs/>
        </w:rPr>
        <w:t xml:space="preserve">In order for DMR and De Beers to settle the above dispute, an </w:t>
      </w:r>
      <w:proofErr w:type="spellStart"/>
      <w:r w:rsidRPr="00A641E1">
        <w:rPr>
          <w:rFonts w:ascii="Arial" w:hAnsi="Arial" w:cs="Arial"/>
          <w:bCs/>
        </w:rPr>
        <w:t>MoA</w:t>
      </w:r>
      <w:proofErr w:type="spellEnd"/>
      <w:r w:rsidRPr="00A641E1">
        <w:rPr>
          <w:rFonts w:ascii="Arial" w:hAnsi="Arial" w:cs="Arial"/>
          <w:bCs/>
        </w:rPr>
        <w:t xml:space="preserve"> was concluded as a full and final settlement of </w:t>
      </w:r>
      <w:r w:rsidRPr="00A641E1">
        <w:rPr>
          <w:rFonts w:ascii="Arial" w:hAnsi="Arial" w:cs="Arial"/>
          <w:bCs/>
        </w:rPr>
        <w:lastRenderedPageBreak/>
        <w:t xml:space="preserve">any and all claims that the State may have </w:t>
      </w:r>
      <w:r>
        <w:rPr>
          <w:rFonts w:ascii="Arial" w:hAnsi="Arial" w:cs="Arial"/>
          <w:bCs/>
        </w:rPr>
        <w:t xml:space="preserve">had </w:t>
      </w:r>
      <w:r w:rsidRPr="00A641E1">
        <w:rPr>
          <w:rFonts w:ascii="Arial" w:hAnsi="Arial" w:cs="Arial"/>
          <w:bCs/>
        </w:rPr>
        <w:t>against De Beers in terms of the Lease Agreements and as part of the settlement a 20% shareholding in N</w:t>
      </w:r>
      <w:r>
        <w:rPr>
          <w:rFonts w:ascii="Arial" w:hAnsi="Arial" w:cs="Arial"/>
          <w:bCs/>
        </w:rPr>
        <w:t xml:space="preserve">amaqualand </w:t>
      </w:r>
      <w:r w:rsidRPr="00A641E1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ines (NM)</w:t>
      </w:r>
      <w:r w:rsidRPr="00A641E1">
        <w:rPr>
          <w:rFonts w:ascii="Arial" w:hAnsi="Arial" w:cs="Arial"/>
          <w:bCs/>
        </w:rPr>
        <w:t xml:space="preserve"> was allocated to DMR pending transfer to a proposed transaction structure involving </w:t>
      </w:r>
      <w:proofErr w:type="spellStart"/>
      <w:r w:rsidRPr="00A641E1">
        <w:rPr>
          <w:rFonts w:ascii="Arial" w:hAnsi="Arial" w:cs="Arial"/>
          <w:bCs/>
        </w:rPr>
        <w:t>Alexkor</w:t>
      </w:r>
      <w:proofErr w:type="spellEnd"/>
      <w:r w:rsidRPr="00A641E1">
        <w:rPr>
          <w:rFonts w:ascii="Arial" w:hAnsi="Arial" w:cs="Arial"/>
          <w:bCs/>
        </w:rPr>
        <w:t>.</w:t>
      </w:r>
      <w:proofErr w:type="gramEnd"/>
    </w:p>
    <w:p w14:paraId="30B1442B" w14:textId="77777777" w:rsidR="00AA5CBF" w:rsidRDefault="00AA5CBF" w:rsidP="008E488B">
      <w:pPr>
        <w:pStyle w:val="NormalWeb"/>
        <w:spacing w:line="360" w:lineRule="auto"/>
        <w:jc w:val="both"/>
        <w:rPr>
          <w:rFonts w:ascii="Arial" w:hAnsi="Arial" w:cs="Arial"/>
          <w:bCs/>
        </w:rPr>
      </w:pPr>
      <w:r w:rsidRPr="00A641E1">
        <w:rPr>
          <w:rFonts w:ascii="Arial" w:hAnsi="Arial" w:cs="Arial"/>
          <w:bCs/>
        </w:rPr>
        <w:t xml:space="preserve">The protracted </w:t>
      </w:r>
      <w:proofErr w:type="spellStart"/>
      <w:r w:rsidRPr="00A641E1">
        <w:rPr>
          <w:rFonts w:ascii="Arial" w:hAnsi="Arial" w:cs="Arial"/>
          <w:bCs/>
        </w:rPr>
        <w:t>Richtersveld</w:t>
      </w:r>
      <w:proofErr w:type="spellEnd"/>
      <w:r w:rsidRPr="00A641E1">
        <w:rPr>
          <w:rFonts w:ascii="Arial" w:hAnsi="Arial" w:cs="Arial"/>
          <w:bCs/>
        </w:rPr>
        <w:t xml:space="preserve"> community land claim against the Department and </w:t>
      </w:r>
      <w:proofErr w:type="spellStart"/>
      <w:r w:rsidRPr="00A641E1">
        <w:rPr>
          <w:rFonts w:ascii="Arial" w:hAnsi="Arial" w:cs="Arial"/>
          <w:bCs/>
        </w:rPr>
        <w:t>Alexkor</w:t>
      </w:r>
      <w:proofErr w:type="spellEnd"/>
      <w:r w:rsidRPr="00A641E1">
        <w:rPr>
          <w:rFonts w:ascii="Arial" w:hAnsi="Arial" w:cs="Arial"/>
          <w:bCs/>
        </w:rPr>
        <w:t xml:space="preserve"> (“Land Claim”) complicated the </w:t>
      </w:r>
      <w:proofErr w:type="gramStart"/>
      <w:r w:rsidRPr="00A641E1">
        <w:rPr>
          <w:rFonts w:ascii="Arial" w:hAnsi="Arial" w:cs="Arial"/>
          <w:bCs/>
        </w:rPr>
        <w:t>deal</w:t>
      </w:r>
      <w:proofErr w:type="gramEnd"/>
      <w:r w:rsidRPr="00A641E1">
        <w:rPr>
          <w:rFonts w:ascii="Arial" w:hAnsi="Arial" w:cs="Arial"/>
          <w:bCs/>
        </w:rPr>
        <w:t xml:space="preserve"> as the resolution of the matter was vital to the </w:t>
      </w:r>
      <w:r>
        <w:rPr>
          <w:rFonts w:ascii="Arial" w:hAnsi="Arial" w:cs="Arial"/>
          <w:bCs/>
        </w:rPr>
        <w:t xml:space="preserve">proposed transaction structure. </w:t>
      </w:r>
      <w:r w:rsidRPr="00A641E1">
        <w:rPr>
          <w:rFonts w:ascii="Arial" w:hAnsi="Arial" w:cs="Arial"/>
          <w:bCs/>
        </w:rPr>
        <w:t>The Government took a decision to protect the 20% shareholding in NM pending the resolution of the Land Claim. Eventually, the proposed deal structure failed to materialise a</w:t>
      </w:r>
      <w:r>
        <w:rPr>
          <w:rFonts w:ascii="Arial" w:hAnsi="Arial" w:cs="Arial"/>
          <w:bCs/>
        </w:rPr>
        <w:t xml:space="preserve">nd </w:t>
      </w:r>
      <w:r w:rsidRPr="00A641E1">
        <w:rPr>
          <w:rFonts w:ascii="Arial" w:hAnsi="Arial" w:cs="Arial"/>
          <w:bCs/>
        </w:rPr>
        <w:t>whilst the Government was negotiating a resolution of the Land Claim, De Beers was proceeding with its bu</w:t>
      </w:r>
      <w:r>
        <w:rPr>
          <w:rFonts w:ascii="Arial" w:hAnsi="Arial" w:cs="Arial"/>
          <w:bCs/>
        </w:rPr>
        <w:t>siness rationalisation process.</w:t>
      </w:r>
    </w:p>
    <w:p w14:paraId="1B90F293" w14:textId="77777777" w:rsidR="00AA5CBF" w:rsidRDefault="00AA5CBF" w:rsidP="008E488B">
      <w:pPr>
        <w:pStyle w:val="NormalWeb"/>
        <w:numPr>
          <w:ilvl w:val="0"/>
          <w:numId w:val="1"/>
        </w:numPr>
        <w:spacing w:after="0" w:line="360" w:lineRule="auto"/>
        <w:ind w:hanging="720"/>
        <w:jc w:val="both"/>
        <w:rPr>
          <w:rFonts w:ascii="Arial" w:hAnsi="Arial" w:cs="Arial"/>
          <w:bCs/>
        </w:rPr>
      </w:pPr>
      <w:r w:rsidRPr="00A641E1">
        <w:rPr>
          <w:rFonts w:ascii="Arial" w:hAnsi="Arial" w:cs="Arial"/>
          <w:bCs/>
        </w:rPr>
        <w:t>As a result, several steps were taken</w:t>
      </w:r>
      <w:r>
        <w:rPr>
          <w:rFonts w:ascii="Arial" w:hAnsi="Arial" w:cs="Arial"/>
          <w:bCs/>
        </w:rPr>
        <w:t xml:space="preserve"> by De Beers to sell </w:t>
      </w:r>
      <w:proofErr w:type="gramStart"/>
      <w:r>
        <w:rPr>
          <w:rFonts w:ascii="Arial" w:hAnsi="Arial" w:cs="Arial"/>
          <w:bCs/>
        </w:rPr>
        <w:t xml:space="preserve">NM </w:t>
      </w:r>
      <w:r w:rsidRPr="00A641E1">
        <w:rPr>
          <w:rFonts w:ascii="Arial" w:hAnsi="Arial" w:cs="Arial"/>
          <w:bCs/>
        </w:rPr>
        <w:t xml:space="preserve">which </w:t>
      </w:r>
      <w:r>
        <w:rPr>
          <w:rFonts w:ascii="Arial" w:hAnsi="Arial" w:cs="Arial"/>
          <w:bCs/>
        </w:rPr>
        <w:t>was eventually acquired by Trans Hex</w:t>
      </w:r>
      <w:proofErr w:type="gramEnd"/>
      <w:r>
        <w:rPr>
          <w:rFonts w:ascii="Arial" w:hAnsi="Arial" w:cs="Arial"/>
          <w:bCs/>
        </w:rPr>
        <w:t xml:space="preserve"> and the State maintained its 20% shareholding under the custodianship of the Department of Public Enterprises. The NM operations lay dormant for several years until 2015 when West Coast Resources </w:t>
      </w:r>
      <w:proofErr w:type="gramStart"/>
      <w:r>
        <w:rPr>
          <w:rFonts w:ascii="Arial" w:hAnsi="Arial" w:cs="Arial"/>
          <w:bCs/>
        </w:rPr>
        <w:t>was formed</w:t>
      </w:r>
      <w:proofErr w:type="gramEnd"/>
      <w:r>
        <w:rPr>
          <w:rFonts w:ascii="Arial" w:hAnsi="Arial" w:cs="Arial"/>
          <w:bCs/>
        </w:rPr>
        <w:t xml:space="preserve"> to exploit the NM asset. The 20% shareholding of the State </w:t>
      </w:r>
      <w:proofErr w:type="gramStart"/>
      <w:r>
        <w:rPr>
          <w:rFonts w:ascii="Arial" w:hAnsi="Arial" w:cs="Arial"/>
          <w:bCs/>
        </w:rPr>
        <w:t>is warehoused</w:t>
      </w:r>
      <w:proofErr w:type="gramEnd"/>
      <w:r>
        <w:rPr>
          <w:rFonts w:ascii="Arial" w:hAnsi="Arial" w:cs="Arial"/>
          <w:bCs/>
        </w:rPr>
        <w:t xml:space="preserve"> in a Special Purpose Vehicle while the State determines how to leverage its stake.</w:t>
      </w:r>
    </w:p>
    <w:p w14:paraId="22B6B9C9" w14:textId="77777777" w:rsidR="008E488B" w:rsidRDefault="008E488B" w:rsidP="008E488B">
      <w:pPr>
        <w:pStyle w:val="NormalWeb"/>
        <w:spacing w:after="0" w:line="360" w:lineRule="auto"/>
        <w:ind w:left="720"/>
        <w:jc w:val="both"/>
        <w:rPr>
          <w:rFonts w:ascii="Arial" w:hAnsi="Arial" w:cs="Arial"/>
          <w:bCs/>
        </w:rPr>
      </w:pPr>
    </w:p>
    <w:p w14:paraId="57021954" w14:textId="77777777" w:rsidR="00EB2231" w:rsidRDefault="00AA5CBF" w:rsidP="002D7AC9">
      <w:pPr>
        <w:pStyle w:val="NormalWeb"/>
        <w:spacing w:after="0" w:line="360" w:lineRule="auto"/>
        <w:jc w:val="both"/>
      </w:pPr>
      <w:r w:rsidRPr="004D116D">
        <w:rPr>
          <w:rFonts w:ascii="Arial" w:hAnsi="Arial" w:cs="Arial"/>
          <w:bCs/>
        </w:rPr>
        <w:t xml:space="preserve">  </w:t>
      </w:r>
    </w:p>
    <w:sectPr w:rsidR="00EB2231" w:rsidSect="00310951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397" w:right="1134" w:bottom="284" w:left="993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BF85" w14:textId="77777777" w:rsidR="000057D5" w:rsidRDefault="000057D5">
      <w:r>
        <w:separator/>
      </w:r>
    </w:p>
  </w:endnote>
  <w:endnote w:type="continuationSeparator" w:id="0">
    <w:p w14:paraId="6D9C7EE8" w14:textId="77777777" w:rsidR="000057D5" w:rsidRDefault="0000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3564429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sz w:val="16"/>
          </w:rPr>
          <w:id w:val="2004152251"/>
          <w:docPartObj>
            <w:docPartGallery w:val="Page Numbers (Top of Page)"/>
            <w:docPartUnique/>
          </w:docPartObj>
        </w:sdtPr>
        <w:sdtEndPr/>
        <w:sdtContent>
          <w:p w14:paraId="0AD2A780" w14:textId="681A79CC" w:rsidR="00740B1C" w:rsidRPr="003E058D" w:rsidRDefault="005628F3">
            <w:pPr>
              <w:pStyle w:val="Footer"/>
              <w:jc w:val="right"/>
              <w:rPr>
                <w:sz w:val="16"/>
              </w:rPr>
            </w:pPr>
            <w:r w:rsidRPr="00B4315E">
              <w:rPr>
                <w:b/>
                <w:color w:val="FF0000"/>
                <w:sz w:val="16"/>
              </w:rPr>
              <w:t xml:space="preserve">   </w:t>
            </w:r>
            <w:r>
              <w:rPr>
                <w:sz w:val="16"/>
              </w:rPr>
              <w:t xml:space="preserve">                                                               </w:t>
            </w:r>
            <w:r w:rsidRPr="003E058D">
              <w:rPr>
                <w:sz w:val="16"/>
              </w:rPr>
              <w:t xml:space="preserve">Page </w:t>
            </w:r>
            <w:r w:rsidRPr="003E058D">
              <w:rPr>
                <w:bCs/>
                <w:sz w:val="16"/>
                <w:szCs w:val="24"/>
              </w:rPr>
              <w:fldChar w:fldCharType="begin"/>
            </w:r>
            <w:r w:rsidRPr="003E058D">
              <w:rPr>
                <w:bCs/>
                <w:sz w:val="16"/>
              </w:rPr>
              <w:instrText xml:space="preserve"> PAGE </w:instrText>
            </w:r>
            <w:r w:rsidRPr="003E058D">
              <w:rPr>
                <w:bCs/>
                <w:sz w:val="16"/>
                <w:szCs w:val="24"/>
              </w:rPr>
              <w:fldChar w:fldCharType="separate"/>
            </w:r>
            <w:r w:rsidR="00C204C1">
              <w:rPr>
                <w:bCs/>
                <w:noProof/>
                <w:sz w:val="16"/>
              </w:rPr>
              <w:t>1</w:t>
            </w:r>
            <w:r w:rsidRPr="003E058D">
              <w:rPr>
                <w:bCs/>
                <w:sz w:val="16"/>
                <w:szCs w:val="24"/>
              </w:rPr>
              <w:fldChar w:fldCharType="end"/>
            </w:r>
            <w:r w:rsidRPr="003E058D">
              <w:rPr>
                <w:sz w:val="16"/>
              </w:rPr>
              <w:t xml:space="preserve"> of </w:t>
            </w:r>
            <w:r w:rsidRPr="003E058D">
              <w:rPr>
                <w:bCs/>
                <w:sz w:val="16"/>
                <w:szCs w:val="24"/>
              </w:rPr>
              <w:fldChar w:fldCharType="begin"/>
            </w:r>
            <w:r w:rsidRPr="003E058D">
              <w:rPr>
                <w:bCs/>
                <w:sz w:val="16"/>
              </w:rPr>
              <w:instrText xml:space="preserve"> NUMPAGES  </w:instrText>
            </w:r>
            <w:r w:rsidRPr="003E058D">
              <w:rPr>
                <w:bCs/>
                <w:sz w:val="16"/>
                <w:szCs w:val="24"/>
              </w:rPr>
              <w:fldChar w:fldCharType="separate"/>
            </w:r>
            <w:r w:rsidR="00C204C1">
              <w:rPr>
                <w:bCs/>
                <w:noProof/>
                <w:sz w:val="16"/>
              </w:rPr>
              <w:t>2</w:t>
            </w:r>
            <w:r w:rsidRPr="003E058D">
              <w:rPr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4E709A2A" w14:textId="77777777" w:rsidR="00740B1C" w:rsidRPr="00A27D60" w:rsidRDefault="00C204C1" w:rsidP="00740B1C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5342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5369BEB" w14:textId="1F6950AD" w:rsidR="00740B1C" w:rsidRDefault="005628F3" w:rsidP="00740B1C">
            <w:pPr>
              <w:pStyle w:val="Footer"/>
              <w:jc w:val="right"/>
            </w:pPr>
            <w:r w:rsidRPr="008F59C5">
              <w:rPr>
                <w:sz w:val="16"/>
                <w:szCs w:val="16"/>
              </w:rPr>
              <w:t xml:space="preserve">Page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PAGE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  <w:r w:rsidRPr="008F59C5">
              <w:rPr>
                <w:sz w:val="16"/>
                <w:szCs w:val="16"/>
              </w:rPr>
              <w:t xml:space="preserve"> of </w:t>
            </w:r>
            <w:r w:rsidRPr="008F59C5">
              <w:rPr>
                <w:bCs/>
                <w:sz w:val="16"/>
                <w:szCs w:val="16"/>
              </w:rPr>
              <w:fldChar w:fldCharType="begin"/>
            </w:r>
            <w:r w:rsidRPr="008F59C5">
              <w:rPr>
                <w:bCs/>
                <w:sz w:val="16"/>
                <w:szCs w:val="16"/>
              </w:rPr>
              <w:instrText xml:space="preserve"> NUMPAGES  </w:instrText>
            </w:r>
            <w:r w:rsidRPr="008F59C5">
              <w:rPr>
                <w:bCs/>
                <w:sz w:val="16"/>
                <w:szCs w:val="16"/>
              </w:rPr>
              <w:fldChar w:fldCharType="separate"/>
            </w:r>
            <w:r w:rsidR="00C204C1">
              <w:rPr>
                <w:bCs/>
                <w:noProof/>
                <w:sz w:val="16"/>
                <w:szCs w:val="16"/>
              </w:rPr>
              <w:t>2</w:t>
            </w:r>
            <w:r w:rsidRPr="008F59C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22957" w14:textId="77777777" w:rsidR="000057D5" w:rsidRDefault="000057D5">
      <w:r>
        <w:separator/>
      </w:r>
    </w:p>
  </w:footnote>
  <w:footnote w:type="continuationSeparator" w:id="0">
    <w:p w14:paraId="0E225D51" w14:textId="77777777" w:rsidR="000057D5" w:rsidRDefault="00005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0C90E" w14:textId="77777777" w:rsidR="00740B1C" w:rsidRDefault="005628F3">
    <w:pPr>
      <w:rPr>
        <w:rFonts w:ascii="Courier" w:hAnsi="Courier"/>
      </w:rPr>
    </w:pPr>
    <w:r>
      <w:rPr>
        <w:rFonts w:ascii="Courier" w:hAnsi="Couri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9983" w14:textId="77777777" w:rsidR="00740B1C" w:rsidRDefault="00C204C1">
    <w:pPr>
      <w:jc w:val="center"/>
      <w:rPr>
        <w:sz w:val="16"/>
      </w:rPr>
    </w:pPr>
  </w:p>
  <w:p w14:paraId="7854E365" w14:textId="77777777" w:rsidR="00325081" w:rsidRDefault="00325081">
    <w:pPr>
      <w:jc w:val="center"/>
      <w:rPr>
        <w:sz w:val="16"/>
      </w:rPr>
    </w:pPr>
  </w:p>
  <w:p w14:paraId="6BA48B5B" w14:textId="77777777" w:rsidR="00325081" w:rsidRDefault="00325081">
    <w:pPr>
      <w:jc w:val="center"/>
      <w:rPr>
        <w:sz w:val="16"/>
      </w:rPr>
    </w:pPr>
  </w:p>
  <w:p w14:paraId="22831108" w14:textId="77777777" w:rsidR="00325081" w:rsidRDefault="00325081">
    <w:pP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6C41"/>
    <w:multiLevelType w:val="hybridMultilevel"/>
    <w:tmpl w:val="0CB4D5B2"/>
    <w:lvl w:ilvl="0" w:tplc="90D022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BF"/>
    <w:rsid w:val="000057D5"/>
    <w:rsid w:val="002D7AC9"/>
    <w:rsid w:val="00325081"/>
    <w:rsid w:val="004B25A4"/>
    <w:rsid w:val="005628F3"/>
    <w:rsid w:val="00705586"/>
    <w:rsid w:val="008154F5"/>
    <w:rsid w:val="008E488B"/>
    <w:rsid w:val="00971F62"/>
    <w:rsid w:val="009B5CDA"/>
    <w:rsid w:val="00A83E43"/>
    <w:rsid w:val="00AA5CBF"/>
    <w:rsid w:val="00C204C1"/>
    <w:rsid w:val="00C94A8D"/>
    <w:rsid w:val="00E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84E7B7"/>
  <w15:docId w15:val="{F3C0B512-5407-4E16-B9E9-FF4EFA4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BF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94A8D"/>
    <w:pPr>
      <w:keepNext/>
      <w:spacing w:line="312" w:lineRule="auto"/>
      <w:ind w:left="540"/>
      <w:outlineLvl w:val="0"/>
    </w:pPr>
    <w:rPr>
      <w:rFonts w:cs="Arial"/>
      <w:b/>
      <w:bCs/>
      <w:color w:val="auto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94A8D"/>
    <w:pPr>
      <w:keepNext/>
      <w:spacing w:line="312" w:lineRule="auto"/>
      <w:ind w:left="851"/>
      <w:outlineLvl w:val="1"/>
    </w:pPr>
    <w:rPr>
      <w:rFonts w:eastAsia="SimSun" w:cs="Arial"/>
      <w:b/>
      <w:bCs/>
      <w:color w:val="auto"/>
      <w:sz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CBF"/>
    <w:pPr>
      <w:spacing w:line="360" w:lineRule="auto"/>
      <w:ind w:left="720"/>
      <w:jc w:val="both"/>
    </w:pPr>
    <w:rPr>
      <w:rFonts w:ascii="Times New Roman" w:hAnsi="Times New Roman"/>
      <w:color w:val="auto"/>
      <w:sz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A5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CBF"/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AA5CB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5CBF"/>
    <w:pPr>
      <w:spacing w:after="200" w:line="276" w:lineRule="auto"/>
    </w:pPr>
    <w:rPr>
      <w:rFonts w:ascii="Times New Roman" w:eastAsiaTheme="minorHAnsi" w:hAnsi="Times New Roman"/>
      <w:color w:val="auto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C94A8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94A8D"/>
    <w:rPr>
      <w:rFonts w:ascii="Arial" w:eastAsia="SimSun" w:hAnsi="Arial" w:cs="Arial"/>
      <w:b/>
      <w:bCs/>
      <w:sz w:val="32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C94A8D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32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081"/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8B"/>
    <w:rPr>
      <w:rFonts w:ascii="Tahoma" w:eastAsia="Times New Roman" w:hAnsi="Tahoma" w:cs="Tahoma"/>
      <w:color w:val="00000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Francinah Seanego</dc:creator>
  <cp:lastModifiedBy>Michael  Plaatjies</cp:lastModifiedBy>
  <cp:revision>3</cp:revision>
  <cp:lastPrinted>2018-06-18T17:07:00Z</cp:lastPrinted>
  <dcterms:created xsi:type="dcterms:W3CDTF">2018-06-18T17:07:00Z</dcterms:created>
  <dcterms:modified xsi:type="dcterms:W3CDTF">2018-06-18T17:08:00Z</dcterms:modified>
</cp:coreProperties>
</file>