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037D89">
        <w:rPr>
          <w:rFonts w:ascii="Arial" w:hAnsi="Arial" w:cs="Arial"/>
          <w:b/>
          <w:sz w:val="22"/>
          <w:szCs w:val="22"/>
        </w:rPr>
        <w:t>1</w:t>
      </w:r>
      <w:r w:rsidR="00446D32">
        <w:rPr>
          <w:rFonts w:ascii="Arial" w:hAnsi="Arial" w:cs="Arial"/>
          <w:b/>
          <w:sz w:val="22"/>
          <w:szCs w:val="22"/>
          <w:lang w:val="en-ZA"/>
        </w:rPr>
        <w:t>2</w:t>
      </w:r>
      <w:r w:rsidR="00A43D30">
        <w:rPr>
          <w:rFonts w:ascii="Arial" w:hAnsi="Arial" w:cs="Arial"/>
          <w:b/>
          <w:sz w:val="22"/>
          <w:szCs w:val="22"/>
          <w:lang w:val="en-ZA"/>
        </w:rPr>
        <w:t>7</w:t>
      </w:r>
      <w:r w:rsidR="0027436F" w:rsidRPr="00C60A55">
        <w:rPr>
          <w:rFonts w:ascii="Arial" w:hAnsi="Arial" w:cs="Arial"/>
          <w:b/>
          <w:sz w:val="22"/>
          <w:szCs w:val="22"/>
        </w:rPr>
        <w:t xml:space="preserve"> </w:t>
      </w:r>
      <w:r w:rsidRPr="00C60A55">
        <w:rPr>
          <w:rFonts w:ascii="Arial" w:hAnsi="Arial" w:cs="Arial"/>
          <w:b/>
          <w:sz w:val="22"/>
          <w:szCs w:val="22"/>
        </w:rPr>
        <w:t>[</w:t>
      </w:r>
      <w:r w:rsidR="00737375" w:rsidRPr="00737375">
        <w:rPr>
          <w:rFonts w:ascii="Arial" w:hAnsi="Arial" w:cs="Arial"/>
          <w:b/>
          <w:sz w:val="22"/>
          <w:szCs w:val="22"/>
        </w:rPr>
        <w:t>NW</w:t>
      </w:r>
      <w:r w:rsidR="003D13F2">
        <w:rPr>
          <w:rFonts w:ascii="Arial" w:hAnsi="Arial" w:cs="Arial"/>
          <w:b/>
          <w:sz w:val="22"/>
          <w:szCs w:val="22"/>
        </w:rPr>
        <w:t>1</w:t>
      </w:r>
      <w:r w:rsidR="00037D89">
        <w:rPr>
          <w:rFonts w:ascii="Arial" w:hAnsi="Arial" w:cs="Arial"/>
          <w:b/>
          <w:sz w:val="22"/>
          <w:szCs w:val="22"/>
        </w:rPr>
        <w:t>3</w:t>
      </w:r>
      <w:r w:rsidR="00A43D30">
        <w:rPr>
          <w:rFonts w:ascii="Arial" w:hAnsi="Arial" w:cs="Arial"/>
          <w:b/>
          <w:sz w:val="22"/>
          <w:szCs w:val="22"/>
        </w:rPr>
        <w:t>0</w:t>
      </w:r>
      <w:r w:rsidR="00737375" w:rsidRPr="00737375">
        <w:rPr>
          <w:rFonts w:ascii="Arial" w:hAnsi="Arial" w:cs="Arial"/>
          <w:b/>
          <w:sz w:val="22"/>
          <w:szCs w:val="22"/>
        </w:rPr>
        <w:t>E</w:t>
      </w:r>
      <w:r w:rsidRPr="00C60A55">
        <w:rPr>
          <w:rFonts w:ascii="Arial" w:hAnsi="Arial" w:cs="Arial"/>
          <w:b/>
          <w:sz w:val="22"/>
          <w:szCs w:val="22"/>
        </w:rPr>
        <w:t>]</w:t>
      </w:r>
      <w:bookmarkEnd w:id="3"/>
    </w:p>
    <w:bookmarkEnd w:id="0"/>
    <w:bookmarkEnd w:id="1"/>
    <w:bookmarkEnd w:id="2"/>
    <w:bookmarkEnd w:id="4"/>
    <w:p w:rsidR="008E3D62" w:rsidRPr="003D13F2" w:rsidRDefault="008E3D62" w:rsidP="003D13F2">
      <w:pPr>
        <w:spacing w:line="360" w:lineRule="auto"/>
        <w:jc w:val="both"/>
        <w:rPr>
          <w:rFonts w:ascii="Arial" w:hAnsi="Arial" w:cs="Arial"/>
          <w:b/>
          <w:sz w:val="22"/>
          <w:szCs w:val="22"/>
        </w:rPr>
      </w:pPr>
    </w:p>
    <w:p w:rsidR="00A43D30" w:rsidRPr="00A43D30" w:rsidRDefault="00A43D30" w:rsidP="00A43D30">
      <w:pPr>
        <w:spacing w:before="100" w:beforeAutospacing="1" w:after="100" w:afterAutospacing="1"/>
        <w:ind w:left="720" w:hanging="720"/>
        <w:jc w:val="both"/>
        <w:outlineLvl w:val="0"/>
        <w:rPr>
          <w:rFonts w:ascii="Arial" w:eastAsia="Calibri" w:hAnsi="Arial" w:cs="Arial"/>
          <w:sz w:val="22"/>
          <w:szCs w:val="22"/>
          <w:lang w:val="en-ZA"/>
        </w:rPr>
      </w:pPr>
      <w:r w:rsidRPr="00A43D30">
        <w:rPr>
          <w:rFonts w:ascii="Arial" w:eastAsia="Calibri" w:hAnsi="Arial" w:cs="Arial"/>
          <w:b/>
          <w:sz w:val="22"/>
          <w:szCs w:val="22"/>
          <w:lang w:val="en-ZA"/>
        </w:rPr>
        <w:t>127.</w:t>
      </w:r>
      <w:r w:rsidRPr="00A43D30">
        <w:rPr>
          <w:rFonts w:ascii="Arial" w:eastAsia="Calibri" w:hAnsi="Arial" w:cs="Arial"/>
          <w:b/>
          <w:sz w:val="22"/>
          <w:szCs w:val="22"/>
          <w:lang w:val="en-ZA"/>
        </w:rPr>
        <w:tab/>
        <w:t xml:space="preserve">Mr </w:t>
      </w:r>
      <w:r w:rsidRPr="00A43D30">
        <w:rPr>
          <w:rFonts w:ascii="Arial" w:eastAsia="Calibri" w:hAnsi="Arial" w:cs="Arial"/>
          <w:b/>
          <w:color w:val="000000"/>
          <w:sz w:val="22"/>
          <w:szCs w:val="22"/>
          <w:lang w:val="de-DE" w:eastAsia="en-ZA"/>
        </w:rPr>
        <w:t xml:space="preserve">H C C </w:t>
      </w:r>
      <w:bookmarkStart w:id="5" w:name="_GoBack"/>
      <w:proofErr w:type="spellStart"/>
      <w:r w:rsidRPr="00A43D30">
        <w:rPr>
          <w:rFonts w:ascii="Arial" w:eastAsia="Calibri" w:hAnsi="Arial" w:cs="Arial"/>
          <w:b/>
          <w:sz w:val="22"/>
          <w:szCs w:val="22"/>
          <w:lang w:val="en-ZA"/>
        </w:rPr>
        <w:t>Krüger</w:t>
      </w:r>
      <w:proofErr w:type="spellEnd"/>
      <w:r w:rsidRPr="00A43D30">
        <w:rPr>
          <w:rFonts w:ascii="Arial" w:eastAsia="Calibri" w:hAnsi="Arial" w:cs="Arial"/>
          <w:b/>
          <w:sz w:val="22"/>
          <w:szCs w:val="22"/>
          <w:lang w:val="en-ZA"/>
        </w:rPr>
        <w:t xml:space="preserve"> </w:t>
      </w:r>
      <w:bookmarkEnd w:id="5"/>
      <w:r w:rsidRPr="00A43D30">
        <w:rPr>
          <w:rFonts w:ascii="Arial" w:eastAsia="Calibri" w:hAnsi="Arial" w:cs="Arial"/>
          <w:b/>
          <w:sz w:val="22"/>
          <w:szCs w:val="22"/>
          <w:lang w:val="en-ZA"/>
        </w:rPr>
        <w:t>(DA) to ask the Minister of Finance</w:t>
      </w:r>
      <w:r w:rsidR="009F48C6" w:rsidRPr="00A43D30">
        <w:rPr>
          <w:rFonts w:ascii="Arial" w:eastAsia="Calibri" w:hAnsi="Arial" w:cs="Arial"/>
          <w:b/>
          <w:sz w:val="22"/>
          <w:szCs w:val="22"/>
          <w:lang w:val="en-ZA"/>
        </w:rPr>
        <w:fldChar w:fldCharType="begin"/>
      </w:r>
      <w:r w:rsidRPr="00A43D30">
        <w:rPr>
          <w:rFonts w:ascii="Arial" w:eastAsia="Calibri" w:hAnsi="Arial" w:cs="Arial"/>
          <w:sz w:val="22"/>
          <w:szCs w:val="22"/>
          <w:lang w:val="en-ZA"/>
        </w:rPr>
        <w:instrText xml:space="preserve"> XE "</w:instrText>
      </w:r>
      <w:r w:rsidRPr="00A43D30">
        <w:rPr>
          <w:rFonts w:ascii="Arial" w:eastAsia="Calibri" w:hAnsi="Arial" w:cs="Arial"/>
          <w:b/>
          <w:sz w:val="22"/>
          <w:szCs w:val="22"/>
          <w:lang w:val="en-GB"/>
        </w:rPr>
        <w:instrText>Finance</w:instrText>
      </w:r>
      <w:r w:rsidRPr="00A43D30">
        <w:rPr>
          <w:rFonts w:ascii="Arial" w:eastAsia="Calibri" w:hAnsi="Arial" w:cs="Arial"/>
          <w:sz w:val="22"/>
          <w:szCs w:val="22"/>
          <w:lang w:val="en-ZA"/>
        </w:rPr>
        <w:instrText xml:space="preserve">" </w:instrText>
      </w:r>
      <w:r w:rsidR="009F48C6" w:rsidRPr="00A43D30">
        <w:rPr>
          <w:rFonts w:ascii="Arial" w:eastAsia="Calibri" w:hAnsi="Arial" w:cs="Arial"/>
          <w:b/>
          <w:sz w:val="22"/>
          <w:szCs w:val="22"/>
          <w:lang w:val="en-ZA"/>
        </w:rPr>
        <w:fldChar w:fldCharType="end"/>
      </w:r>
      <w:r w:rsidRPr="00A43D30">
        <w:rPr>
          <w:rFonts w:ascii="Arial" w:eastAsia="Calibri" w:hAnsi="Arial" w:cs="Arial"/>
          <w:b/>
          <w:sz w:val="22"/>
          <w:szCs w:val="22"/>
          <w:lang w:val="en-ZA"/>
        </w:rPr>
        <w:t xml:space="preserve">: </w:t>
      </w:r>
    </w:p>
    <w:p w:rsidR="00A43D30" w:rsidRPr="00A43D30" w:rsidRDefault="00A43D30" w:rsidP="00A43D30">
      <w:pPr>
        <w:spacing w:before="100" w:beforeAutospacing="1" w:after="100" w:afterAutospacing="1"/>
        <w:ind w:left="720" w:hanging="720"/>
        <w:jc w:val="both"/>
        <w:rPr>
          <w:rFonts w:ascii="Arial" w:eastAsia="Calibri" w:hAnsi="Arial" w:cs="Arial"/>
          <w:sz w:val="22"/>
          <w:szCs w:val="22"/>
          <w:lang w:val="en-ZA"/>
        </w:rPr>
      </w:pPr>
      <w:r w:rsidRPr="00A43D30">
        <w:rPr>
          <w:rFonts w:ascii="Arial" w:eastAsia="Calibri" w:hAnsi="Arial" w:cs="Arial"/>
          <w:sz w:val="22"/>
          <w:szCs w:val="22"/>
          <w:lang w:val="en-ZA"/>
        </w:rPr>
        <w:t>(1)</w:t>
      </w:r>
      <w:r w:rsidRPr="00A43D30">
        <w:rPr>
          <w:rFonts w:ascii="Arial" w:eastAsia="Calibri" w:hAnsi="Arial" w:cs="Arial"/>
          <w:sz w:val="22"/>
          <w:szCs w:val="22"/>
          <w:lang w:val="en-ZA"/>
        </w:rPr>
        <w:tab/>
        <w:t xml:space="preserve">Whether, with reference to a certain letter and a list of unpaid invoices (details furnished), each specified invoice listed has been paid yet; if not, why not; if so, what are the relevant details; </w:t>
      </w:r>
    </w:p>
    <w:p w:rsidR="00A43D30" w:rsidRDefault="00A43D30" w:rsidP="00A43D30">
      <w:pPr>
        <w:spacing w:before="100" w:beforeAutospacing="1" w:after="100" w:afterAutospacing="1"/>
        <w:ind w:left="720" w:hanging="720"/>
        <w:jc w:val="both"/>
        <w:rPr>
          <w:rFonts w:ascii="Arial" w:eastAsia="Calibri" w:hAnsi="Arial" w:cs="Arial"/>
          <w:sz w:val="22"/>
          <w:szCs w:val="22"/>
          <w:lang w:val="en-ZA"/>
        </w:rPr>
      </w:pPr>
      <w:r w:rsidRPr="00A43D30">
        <w:rPr>
          <w:rFonts w:ascii="Arial" w:eastAsia="Calibri" w:hAnsi="Arial" w:cs="Arial"/>
          <w:sz w:val="22"/>
          <w:szCs w:val="22"/>
          <w:lang w:val="en-ZA"/>
        </w:rPr>
        <w:t>(2)</w:t>
      </w:r>
      <w:r w:rsidRPr="00A43D30">
        <w:rPr>
          <w:rFonts w:ascii="Arial" w:eastAsia="Calibri" w:hAnsi="Arial" w:cs="Arial"/>
          <w:sz w:val="22"/>
          <w:szCs w:val="22"/>
          <w:lang w:val="en-ZA"/>
        </w:rPr>
        <w:tab/>
        <w:t>whether the National Treasury intends to pay the outstanding invoices; if not, why not; if so, what are the relevant details?</w:t>
      </w:r>
      <w:r w:rsidRPr="00A43D30">
        <w:rPr>
          <w:rFonts w:ascii="Arial" w:eastAsia="Calibri" w:hAnsi="Arial" w:cs="Arial"/>
          <w:sz w:val="22"/>
          <w:szCs w:val="22"/>
          <w:lang w:val="en-ZA"/>
        </w:rPr>
        <w:tab/>
      </w:r>
      <w:r w:rsidRPr="00A43D30">
        <w:rPr>
          <w:rFonts w:ascii="Arial" w:eastAsia="Calibri" w:hAnsi="Arial" w:cs="Arial"/>
          <w:sz w:val="22"/>
          <w:szCs w:val="22"/>
          <w:lang w:val="en-ZA"/>
        </w:rPr>
        <w:tab/>
      </w:r>
      <w:r w:rsidRPr="00A43D30">
        <w:rPr>
          <w:rFonts w:ascii="Arial" w:eastAsia="Calibri" w:hAnsi="Arial" w:cs="Arial"/>
          <w:sz w:val="22"/>
          <w:szCs w:val="22"/>
          <w:lang w:val="en-ZA"/>
        </w:rPr>
        <w:tab/>
      </w:r>
    </w:p>
    <w:p w:rsidR="00A43D30" w:rsidRPr="00A43D30" w:rsidRDefault="00A43D30" w:rsidP="00A43D30">
      <w:pPr>
        <w:spacing w:before="100" w:beforeAutospacing="1" w:after="100" w:afterAutospacing="1"/>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43D30">
        <w:rPr>
          <w:rFonts w:ascii="Arial" w:eastAsia="Calibri" w:hAnsi="Arial" w:cs="Arial"/>
          <w:sz w:val="22"/>
          <w:szCs w:val="22"/>
          <w:lang w:val="en-ZA"/>
        </w:rPr>
        <w:tab/>
        <w:t>NW130E</w:t>
      </w:r>
    </w:p>
    <w:p w:rsidR="008E3D62" w:rsidRPr="00446D32" w:rsidRDefault="008E3D62" w:rsidP="00446D32">
      <w:pPr>
        <w:spacing w:before="100" w:beforeAutospacing="1" w:after="100" w:afterAutospacing="1" w:line="360" w:lineRule="auto"/>
        <w:jc w:val="both"/>
        <w:outlineLvl w:val="0"/>
        <w:rPr>
          <w:rFonts w:ascii="Arial" w:hAnsi="Arial" w:cs="Arial"/>
          <w:sz w:val="22"/>
          <w:szCs w:val="22"/>
        </w:rPr>
      </w:pPr>
      <w:r w:rsidRPr="00A43D30">
        <w:rPr>
          <w:rFonts w:ascii="Arial" w:hAnsi="Arial" w:cs="Arial"/>
          <w:b/>
          <w:sz w:val="22"/>
          <w:szCs w:val="22"/>
        </w:rPr>
        <w:t>REPLY</w:t>
      </w:r>
      <w:r w:rsidRPr="00446D32">
        <w:rPr>
          <w:rFonts w:ascii="Arial" w:hAnsi="Arial" w:cs="Arial"/>
          <w:sz w:val="22"/>
          <w:szCs w:val="22"/>
        </w:rPr>
        <w:t>:</w:t>
      </w:r>
    </w:p>
    <w:p w:rsidR="006D6054" w:rsidRPr="00BE122A" w:rsidRDefault="006D6054" w:rsidP="006D6054">
      <w:pPr>
        <w:pStyle w:val="ListParagraph"/>
        <w:numPr>
          <w:ilvl w:val="0"/>
          <w:numId w:val="13"/>
        </w:numPr>
        <w:tabs>
          <w:tab w:val="left" w:pos="720"/>
          <w:tab w:val="left" w:pos="864"/>
        </w:tabs>
        <w:spacing w:after="120" w:line="360" w:lineRule="auto"/>
        <w:ind w:hanging="720"/>
        <w:contextualSpacing w:val="0"/>
        <w:jc w:val="both"/>
        <w:rPr>
          <w:rFonts w:ascii="Arial" w:eastAsia="Calibri" w:hAnsi="Arial" w:cs="Arial"/>
          <w:b/>
          <w:sz w:val="22"/>
          <w:szCs w:val="22"/>
          <w:lang w:val="en-ZA"/>
        </w:rPr>
      </w:pPr>
      <w:r w:rsidRPr="00BE122A">
        <w:rPr>
          <w:rFonts w:ascii="Arial" w:eastAsia="Calibri" w:hAnsi="Arial" w:cs="Arial"/>
          <w:b/>
          <w:sz w:val="22"/>
          <w:szCs w:val="22"/>
          <w:lang w:val="en-ZA"/>
        </w:rPr>
        <w:t xml:space="preserve">Unpaid Invoices </w:t>
      </w:r>
    </w:p>
    <w:p w:rsidR="00FF4A29" w:rsidRPr="006D6054" w:rsidRDefault="00E92523" w:rsidP="006D6054">
      <w:pPr>
        <w:tabs>
          <w:tab w:val="left" w:pos="720"/>
          <w:tab w:val="left" w:pos="864"/>
        </w:tabs>
        <w:spacing w:after="120" w:line="360" w:lineRule="auto"/>
        <w:jc w:val="both"/>
        <w:rPr>
          <w:rFonts w:ascii="Arial" w:eastAsia="Calibri" w:hAnsi="Arial" w:cs="Arial"/>
          <w:sz w:val="22"/>
          <w:szCs w:val="22"/>
          <w:lang w:val="en-ZA"/>
        </w:rPr>
      </w:pPr>
      <w:r w:rsidRPr="006D6054">
        <w:rPr>
          <w:rFonts w:ascii="Arial" w:eastAsia="Calibri" w:hAnsi="Arial" w:cs="Arial"/>
          <w:sz w:val="22"/>
          <w:szCs w:val="22"/>
          <w:lang w:val="en-ZA"/>
        </w:rPr>
        <w:t xml:space="preserve">The accounting officer for a department, trading entities or constitutional institutions are required in terms of section 38(1)(f) of the Public Finance Management Act (PFMA), 1999 (Act No. 1 of 1999) </w:t>
      </w:r>
      <w:r w:rsidR="00E816E4">
        <w:rPr>
          <w:rFonts w:ascii="Arial" w:eastAsia="Calibri" w:hAnsi="Arial" w:cs="Arial"/>
          <w:sz w:val="22"/>
          <w:szCs w:val="22"/>
          <w:lang w:val="en-ZA"/>
        </w:rPr>
        <w:t xml:space="preserve">to </w:t>
      </w:r>
      <w:r w:rsidRPr="006D6054">
        <w:rPr>
          <w:rFonts w:ascii="Arial" w:eastAsia="Calibri" w:hAnsi="Arial" w:cs="Arial"/>
          <w:sz w:val="22"/>
          <w:szCs w:val="22"/>
          <w:lang w:val="en-ZA"/>
        </w:rPr>
        <w:t xml:space="preserve">settle all contractual obligations and pay all money owing, including intergovernmental claims, within </w:t>
      </w:r>
      <w:r w:rsidR="006E732C">
        <w:rPr>
          <w:rFonts w:ascii="Arial" w:eastAsia="Calibri" w:hAnsi="Arial" w:cs="Arial"/>
          <w:sz w:val="22"/>
          <w:szCs w:val="22"/>
          <w:lang w:val="en-ZA"/>
        </w:rPr>
        <w:t xml:space="preserve">the prescribed or agreed period. </w:t>
      </w:r>
      <w:r w:rsidRPr="006D6054">
        <w:rPr>
          <w:rFonts w:ascii="Arial" w:eastAsia="Calibri" w:hAnsi="Arial" w:cs="Arial"/>
          <w:sz w:val="22"/>
          <w:szCs w:val="22"/>
          <w:lang w:val="en-ZA"/>
        </w:rPr>
        <w:t>Treasury Regulation 8.2.3 provides that “Unless determined otherwise in a contract or other agreement, all payments due to creditors must be settled within 30 days from receipt of an invoice or, in the case of civil claims, from the date of</w:t>
      </w:r>
      <w:r w:rsidR="006E732C">
        <w:rPr>
          <w:rFonts w:ascii="Arial" w:eastAsia="Calibri" w:hAnsi="Arial" w:cs="Arial"/>
          <w:sz w:val="22"/>
          <w:szCs w:val="22"/>
          <w:lang w:val="en-ZA"/>
        </w:rPr>
        <w:t xml:space="preserve"> settlement or court judgement”.</w:t>
      </w:r>
    </w:p>
    <w:p w:rsidR="00E92523" w:rsidRPr="006D6054" w:rsidRDefault="006E732C" w:rsidP="006D6054">
      <w:pPr>
        <w:tabs>
          <w:tab w:val="left" w:pos="720"/>
          <w:tab w:val="left" w:pos="864"/>
        </w:tabs>
        <w:spacing w:after="120" w:line="360" w:lineRule="auto"/>
        <w:jc w:val="both"/>
        <w:rPr>
          <w:rFonts w:ascii="Arial" w:hAnsi="Arial" w:cs="Arial"/>
          <w:sz w:val="22"/>
          <w:szCs w:val="22"/>
        </w:rPr>
      </w:pPr>
      <w:r>
        <w:rPr>
          <w:rFonts w:ascii="Arial" w:hAnsi="Arial" w:cs="Arial"/>
          <w:sz w:val="22"/>
          <w:szCs w:val="22"/>
        </w:rPr>
        <w:t>Accounting authorities of public entities</w:t>
      </w:r>
      <w:r w:rsidR="00E92523" w:rsidRPr="006D6054">
        <w:rPr>
          <w:rFonts w:ascii="Arial" w:hAnsi="Arial" w:cs="Arial"/>
          <w:sz w:val="22"/>
          <w:szCs w:val="22"/>
        </w:rPr>
        <w:t xml:space="preserve"> </w:t>
      </w:r>
      <w:r>
        <w:rPr>
          <w:rFonts w:ascii="Arial" w:hAnsi="Arial" w:cs="Arial"/>
          <w:sz w:val="22"/>
          <w:szCs w:val="22"/>
        </w:rPr>
        <w:t>are</w:t>
      </w:r>
      <w:r w:rsidR="00E92523" w:rsidRPr="006D6054">
        <w:rPr>
          <w:rFonts w:ascii="Arial" w:hAnsi="Arial" w:cs="Arial"/>
          <w:sz w:val="22"/>
          <w:szCs w:val="22"/>
        </w:rPr>
        <w:t xml:space="preserve"> required in terms of section 51(b)(iii) to manage the working capital of the public entity efficiently and economically</w:t>
      </w:r>
      <w:r>
        <w:rPr>
          <w:rFonts w:ascii="Arial" w:hAnsi="Arial" w:cs="Arial"/>
          <w:sz w:val="22"/>
          <w:szCs w:val="22"/>
        </w:rPr>
        <w:t>.</w:t>
      </w:r>
    </w:p>
    <w:p w:rsidR="00C462EC" w:rsidRPr="006D6054" w:rsidRDefault="006E732C" w:rsidP="006D6054">
      <w:pPr>
        <w:tabs>
          <w:tab w:val="left" w:pos="720"/>
          <w:tab w:val="left" w:pos="864"/>
        </w:tabs>
        <w:spacing w:after="120" w:line="360" w:lineRule="auto"/>
        <w:jc w:val="both"/>
        <w:rPr>
          <w:rFonts w:ascii="Arial" w:hAnsi="Arial" w:cs="Arial"/>
          <w:sz w:val="22"/>
          <w:szCs w:val="22"/>
        </w:rPr>
      </w:pPr>
      <w:r>
        <w:rPr>
          <w:rFonts w:ascii="Arial" w:hAnsi="Arial" w:cs="Arial"/>
          <w:sz w:val="22"/>
          <w:szCs w:val="22"/>
        </w:rPr>
        <w:t xml:space="preserve">A National </w:t>
      </w:r>
      <w:r w:rsidR="00C462EC" w:rsidRPr="006D6054">
        <w:rPr>
          <w:rFonts w:ascii="Arial" w:hAnsi="Arial" w:cs="Arial"/>
          <w:sz w:val="22"/>
          <w:szCs w:val="22"/>
        </w:rPr>
        <w:t>T</w:t>
      </w:r>
      <w:r>
        <w:rPr>
          <w:rFonts w:ascii="Arial" w:hAnsi="Arial" w:cs="Arial"/>
          <w:sz w:val="22"/>
          <w:szCs w:val="22"/>
        </w:rPr>
        <w:t xml:space="preserve">reasury Instruction Note No. </w:t>
      </w:r>
      <w:r w:rsidR="00C462EC" w:rsidRPr="006D6054">
        <w:rPr>
          <w:rFonts w:ascii="Arial" w:hAnsi="Arial" w:cs="Arial"/>
          <w:sz w:val="22"/>
          <w:szCs w:val="22"/>
        </w:rPr>
        <w:t xml:space="preserve">34 </w:t>
      </w:r>
      <w:r>
        <w:rPr>
          <w:rFonts w:ascii="Arial" w:hAnsi="Arial" w:cs="Arial"/>
          <w:sz w:val="22"/>
          <w:szCs w:val="22"/>
        </w:rPr>
        <w:t>was issued to accounting officers of departments requesting exception reports to be submitted to their relevant</w:t>
      </w:r>
      <w:r w:rsidR="00C462EC" w:rsidRPr="006D6054">
        <w:rPr>
          <w:rFonts w:ascii="Arial" w:hAnsi="Arial" w:cs="Arial"/>
          <w:sz w:val="22"/>
          <w:szCs w:val="22"/>
        </w:rPr>
        <w:t xml:space="preserve"> tre</w:t>
      </w:r>
      <w:r>
        <w:rPr>
          <w:rFonts w:ascii="Arial" w:hAnsi="Arial" w:cs="Arial"/>
          <w:sz w:val="22"/>
          <w:szCs w:val="22"/>
        </w:rPr>
        <w:t xml:space="preserve">asuries on (a) </w:t>
      </w:r>
      <w:r w:rsidR="00C462EC" w:rsidRPr="006D6054">
        <w:rPr>
          <w:rFonts w:ascii="Arial" w:hAnsi="Arial" w:cs="Arial"/>
          <w:sz w:val="22"/>
          <w:szCs w:val="22"/>
        </w:rPr>
        <w:t>number and value of invoices paid after 30 days from the date of receiving invoices,</w:t>
      </w:r>
      <w:r>
        <w:rPr>
          <w:rFonts w:ascii="Arial" w:hAnsi="Arial" w:cs="Arial"/>
          <w:sz w:val="22"/>
          <w:szCs w:val="22"/>
        </w:rPr>
        <w:t xml:space="preserve"> (b) </w:t>
      </w:r>
      <w:r w:rsidR="00C462EC" w:rsidRPr="006D6054">
        <w:rPr>
          <w:rFonts w:ascii="Arial" w:hAnsi="Arial" w:cs="Arial"/>
          <w:sz w:val="22"/>
          <w:szCs w:val="22"/>
        </w:rPr>
        <w:t>number</w:t>
      </w:r>
      <w:r>
        <w:rPr>
          <w:rFonts w:ascii="Arial" w:hAnsi="Arial" w:cs="Arial"/>
          <w:sz w:val="22"/>
          <w:szCs w:val="22"/>
        </w:rPr>
        <w:t xml:space="preserve"> and value of invoices older than 30 days that has not been paid </w:t>
      </w:r>
      <w:r w:rsidR="00C462EC" w:rsidRPr="006D6054">
        <w:rPr>
          <w:rFonts w:ascii="Arial" w:hAnsi="Arial" w:cs="Arial"/>
          <w:sz w:val="22"/>
          <w:szCs w:val="22"/>
        </w:rPr>
        <w:t xml:space="preserve">and </w:t>
      </w:r>
      <w:r>
        <w:rPr>
          <w:rFonts w:ascii="Arial" w:hAnsi="Arial" w:cs="Arial"/>
          <w:sz w:val="22"/>
          <w:szCs w:val="22"/>
        </w:rPr>
        <w:t xml:space="preserve">(c) </w:t>
      </w:r>
      <w:r w:rsidR="00C462EC" w:rsidRPr="006D6054">
        <w:rPr>
          <w:rFonts w:ascii="Arial" w:hAnsi="Arial" w:cs="Arial"/>
          <w:sz w:val="22"/>
          <w:szCs w:val="22"/>
        </w:rPr>
        <w:t xml:space="preserve">reasons for the late and/or non-payment of </w:t>
      </w:r>
      <w:r>
        <w:rPr>
          <w:rFonts w:ascii="Arial" w:hAnsi="Arial" w:cs="Arial"/>
          <w:sz w:val="22"/>
          <w:szCs w:val="22"/>
        </w:rPr>
        <w:t>the invoices.</w:t>
      </w:r>
    </w:p>
    <w:p w:rsidR="006869BC" w:rsidRDefault="006D6054" w:rsidP="006D6054">
      <w:pPr>
        <w:tabs>
          <w:tab w:val="left" w:pos="720"/>
          <w:tab w:val="left" w:pos="864"/>
        </w:tabs>
        <w:spacing w:after="120" w:line="360" w:lineRule="auto"/>
        <w:jc w:val="both"/>
        <w:rPr>
          <w:rStyle w:val="Hyperlink"/>
          <w:rFonts w:ascii="Arial" w:hAnsi="Arial" w:cs="Arial"/>
          <w:sz w:val="22"/>
          <w:szCs w:val="22"/>
        </w:rPr>
      </w:pPr>
      <w:r w:rsidRPr="006D6054">
        <w:rPr>
          <w:rFonts w:ascii="Arial" w:hAnsi="Arial" w:cs="Arial"/>
          <w:sz w:val="22"/>
          <w:szCs w:val="22"/>
        </w:rPr>
        <w:t>The N</w:t>
      </w:r>
      <w:r w:rsidR="006E732C">
        <w:rPr>
          <w:rFonts w:ascii="Arial" w:hAnsi="Arial" w:cs="Arial"/>
          <w:sz w:val="22"/>
          <w:szCs w:val="22"/>
        </w:rPr>
        <w:t>ational Treasury established a Call Centre to allow suppliers to log and</w:t>
      </w:r>
      <w:r w:rsidRPr="006D6054">
        <w:rPr>
          <w:rFonts w:ascii="Arial" w:hAnsi="Arial" w:cs="Arial"/>
          <w:sz w:val="22"/>
          <w:szCs w:val="22"/>
        </w:rPr>
        <w:t xml:space="preserve"> report non-payment of invoices by government institutions for the National Treasury</w:t>
      </w:r>
      <w:r w:rsidR="006E732C">
        <w:rPr>
          <w:rFonts w:ascii="Arial" w:hAnsi="Arial" w:cs="Arial"/>
          <w:sz w:val="22"/>
          <w:szCs w:val="22"/>
        </w:rPr>
        <w:t xml:space="preserve"> to take steps in ensuring that such suppliers are paid and make necessary</w:t>
      </w:r>
      <w:r w:rsidRPr="006D6054">
        <w:rPr>
          <w:rFonts w:ascii="Arial" w:hAnsi="Arial" w:cs="Arial"/>
          <w:sz w:val="22"/>
          <w:szCs w:val="22"/>
        </w:rPr>
        <w:t xml:space="preserve"> follow-up with </w:t>
      </w:r>
      <w:r w:rsidR="006E732C">
        <w:rPr>
          <w:rFonts w:ascii="Arial" w:hAnsi="Arial" w:cs="Arial"/>
          <w:sz w:val="22"/>
          <w:szCs w:val="22"/>
        </w:rPr>
        <w:t xml:space="preserve">those </w:t>
      </w:r>
      <w:r w:rsidRPr="006D6054">
        <w:rPr>
          <w:rFonts w:ascii="Arial" w:hAnsi="Arial" w:cs="Arial"/>
          <w:sz w:val="22"/>
          <w:szCs w:val="22"/>
        </w:rPr>
        <w:t>respect</w:t>
      </w:r>
      <w:r w:rsidR="002175C2">
        <w:rPr>
          <w:rFonts w:ascii="Arial" w:hAnsi="Arial" w:cs="Arial"/>
          <w:sz w:val="22"/>
          <w:szCs w:val="22"/>
        </w:rPr>
        <w:t>ive institution to determine</w:t>
      </w:r>
      <w:r w:rsidRPr="006D6054">
        <w:rPr>
          <w:rFonts w:ascii="Arial" w:hAnsi="Arial" w:cs="Arial"/>
          <w:sz w:val="22"/>
          <w:szCs w:val="22"/>
        </w:rPr>
        <w:t xml:space="preserve"> root cause for </w:t>
      </w:r>
      <w:r w:rsidR="002175C2">
        <w:rPr>
          <w:rFonts w:ascii="Arial" w:hAnsi="Arial" w:cs="Arial"/>
          <w:sz w:val="22"/>
          <w:szCs w:val="22"/>
        </w:rPr>
        <w:t xml:space="preserve">the </w:t>
      </w:r>
      <w:r w:rsidRPr="006D6054">
        <w:rPr>
          <w:rFonts w:ascii="Arial" w:hAnsi="Arial" w:cs="Arial"/>
          <w:sz w:val="22"/>
          <w:szCs w:val="22"/>
        </w:rPr>
        <w:t>non-payment of</w:t>
      </w:r>
      <w:r w:rsidR="006E732C">
        <w:rPr>
          <w:rFonts w:ascii="Arial" w:hAnsi="Arial" w:cs="Arial"/>
          <w:sz w:val="22"/>
          <w:szCs w:val="22"/>
        </w:rPr>
        <w:t xml:space="preserve"> reported </w:t>
      </w:r>
      <w:r w:rsidRPr="006D6054">
        <w:rPr>
          <w:rFonts w:ascii="Arial" w:hAnsi="Arial" w:cs="Arial"/>
          <w:sz w:val="22"/>
          <w:szCs w:val="22"/>
        </w:rPr>
        <w:t xml:space="preserve">invoices </w:t>
      </w:r>
      <w:r w:rsidR="006E732C">
        <w:rPr>
          <w:rFonts w:ascii="Arial" w:hAnsi="Arial" w:cs="Arial"/>
          <w:sz w:val="22"/>
          <w:szCs w:val="22"/>
        </w:rPr>
        <w:t xml:space="preserve">that remain unpaid </w:t>
      </w:r>
      <w:r w:rsidR="002175C2">
        <w:rPr>
          <w:rFonts w:ascii="Arial" w:hAnsi="Arial" w:cs="Arial"/>
          <w:sz w:val="22"/>
          <w:szCs w:val="22"/>
        </w:rPr>
        <w:lastRenderedPageBreak/>
        <w:t xml:space="preserve">and </w:t>
      </w:r>
      <w:r w:rsidRPr="006D6054">
        <w:rPr>
          <w:rFonts w:ascii="Arial" w:hAnsi="Arial" w:cs="Arial"/>
          <w:sz w:val="22"/>
          <w:szCs w:val="22"/>
        </w:rPr>
        <w:t>facilitate</w:t>
      </w:r>
      <w:r w:rsidR="002175C2">
        <w:rPr>
          <w:rFonts w:ascii="Arial" w:hAnsi="Arial" w:cs="Arial"/>
          <w:sz w:val="22"/>
          <w:szCs w:val="22"/>
        </w:rPr>
        <w:t xml:space="preserve"> and fast track</w:t>
      </w:r>
      <w:r w:rsidRPr="006D6054">
        <w:rPr>
          <w:rFonts w:ascii="Arial" w:hAnsi="Arial" w:cs="Arial"/>
          <w:sz w:val="22"/>
          <w:szCs w:val="22"/>
        </w:rPr>
        <w:t xml:space="preserve"> the payment </w:t>
      </w:r>
      <w:r w:rsidR="002175C2">
        <w:rPr>
          <w:rFonts w:ascii="Arial" w:hAnsi="Arial" w:cs="Arial"/>
          <w:sz w:val="22"/>
          <w:szCs w:val="22"/>
        </w:rPr>
        <w:t>of those invoices with the relevant</w:t>
      </w:r>
      <w:r w:rsidRPr="006D6054">
        <w:rPr>
          <w:rFonts w:ascii="Arial" w:hAnsi="Arial" w:cs="Arial"/>
          <w:sz w:val="22"/>
          <w:szCs w:val="22"/>
        </w:rPr>
        <w:t xml:space="preserve"> institution, the </w:t>
      </w:r>
      <w:r w:rsidR="00E816E4">
        <w:rPr>
          <w:rFonts w:ascii="Arial" w:hAnsi="Arial" w:cs="Arial"/>
          <w:sz w:val="22"/>
          <w:szCs w:val="22"/>
        </w:rPr>
        <w:t>C</w:t>
      </w:r>
      <w:r w:rsidRPr="006D6054">
        <w:rPr>
          <w:rFonts w:ascii="Arial" w:hAnsi="Arial" w:cs="Arial"/>
          <w:sz w:val="22"/>
          <w:szCs w:val="22"/>
        </w:rPr>
        <w:t>all Centre can be</w:t>
      </w:r>
      <w:r w:rsidR="002175C2">
        <w:rPr>
          <w:rFonts w:ascii="Arial" w:hAnsi="Arial" w:cs="Arial"/>
          <w:sz w:val="22"/>
          <w:szCs w:val="22"/>
        </w:rPr>
        <w:t xml:space="preserve"> accessed on the following</w:t>
      </w:r>
      <w:r w:rsidRPr="006D6054">
        <w:rPr>
          <w:rFonts w:ascii="Arial" w:hAnsi="Arial" w:cs="Arial"/>
          <w:sz w:val="22"/>
          <w:szCs w:val="22"/>
        </w:rPr>
        <w:t xml:space="preserve"> address:  </w:t>
      </w:r>
      <w:hyperlink r:id="rId8" w:history="1">
        <w:r w:rsidRPr="006D6054">
          <w:rPr>
            <w:rStyle w:val="Hyperlink"/>
            <w:rFonts w:ascii="Arial" w:hAnsi="Arial" w:cs="Arial"/>
            <w:sz w:val="22"/>
            <w:szCs w:val="22"/>
          </w:rPr>
          <w:t>30daysqueries@treasury.gov.za</w:t>
        </w:r>
      </w:hyperlink>
      <w:r w:rsidR="006869BC">
        <w:rPr>
          <w:rStyle w:val="Hyperlink"/>
          <w:rFonts w:ascii="Arial" w:hAnsi="Arial" w:cs="Arial"/>
          <w:sz w:val="22"/>
          <w:szCs w:val="22"/>
        </w:rPr>
        <w:t xml:space="preserve">. </w:t>
      </w:r>
    </w:p>
    <w:p w:rsidR="00AC0AF0" w:rsidRDefault="00AC0AF0" w:rsidP="006D6054">
      <w:pPr>
        <w:tabs>
          <w:tab w:val="left" w:pos="720"/>
          <w:tab w:val="left" w:pos="864"/>
        </w:tabs>
        <w:spacing w:after="120" w:line="360" w:lineRule="auto"/>
        <w:jc w:val="both"/>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Similarly, section 65 (2) (</w:t>
      </w:r>
      <w:r w:rsidR="00666109">
        <w:rPr>
          <w:rStyle w:val="Hyperlink"/>
          <w:rFonts w:ascii="Arial" w:hAnsi="Arial" w:cs="Arial"/>
          <w:color w:val="000000" w:themeColor="text1"/>
          <w:sz w:val="22"/>
          <w:szCs w:val="22"/>
          <w:u w:val="none"/>
        </w:rPr>
        <w:t>e)</w:t>
      </w:r>
      <w:r>
        <w:rPr>
          <w:rStyle w:val="Hyperlink"/>
          <w:rFonts w:ascii="Arial" w:hAnsi="Arial" w:cs="Arial"/>
          <w:color w:val="000000" w:themeColor="text1"/>
          <w:sz w:val="22"/>
          <w:szCs w:val="22"/>
          <w:u w:val="none"/>
        </w:rPr>
        <w:t xml:space="preserve"> </w:t>
      </w:r>
      <w:r w:rsidR="00971BB6">
        <w:rPr>
          <w:rStyle w:val="Hyperlink"/>
          <w:rFonts w:ascii="Arial" w:hAnsi="Arial" w:cs="Arial"/>
          <w:color w:val="000000" w:themeColor="text1"/>
          <w:sz w:val="22"/>
          <w:szCs w:val="22"/>
          <w:u w:val="none"/>
        </w:rPr>
        <w:t xml:space="preserve">and 99 (2) (b) </w:t>
      </w:r>
      <w:r>
        <w:rPr>
          <w:rStyle w:val="Hyperlink"/>
          <w:rFonts w:ascii="Arial" w:hAnsi="Arial" w:cs="Arial"/>
          <w:color w:val="000000" w:themeColor="text1"/>
          <w:sz w:val="22"/>
          <w:szCs w:val="22"/>
          <w:u w:val="none"/>
        </w:rPr>
        <w:t xml:space="preserve">of the MFMA </w:t>
      </w:r>
      <w:r w:rsidR="00971BB6">
        <w:rPr>
          <w:rStyle w:val="Hyperlink"/>
          <w:rFonts w:ascii="Arial" w:hAnsi="Arial" w:cs="Arial"/>
          <w:color w:val="000000" w:themeColor="text1"/>
          <w:sz w:val="22"/>
          <w:szCs w:val="22"/>
          <w:u w:val="none"/>
        </w:rPr>
        <w:t>re</w:t>
      </w:r>
      <w:r>
        <w:rPr>
          <w:rStyle w:val="Hyperlink"/>
          <w:rFonts w:ascii="Arial" w:hAnsi="Arial" w:cs="Arial"/>
          <w:color w:val="000000" w:themeColor="text1"/>
          <w:sz w:val="22"/>
          <w:szCs w:val="22"/>
          <w:u w:val="none"/>
        </w:rPr>
        <w:t>quires the accounting officer</w:t>
      </w:r>
      <w:r w:rsidR="00971BB6">
        <w:rPr>
          <w:rStyle w:val="Hyperlink"/>
          <w:rFonts w:ascii="Arial" w:hAnsi="Arial" w:cs="Arial"/>
          <w:color w:val="000000" w:themeColor="text1"/>
          <w:sz w:val="22"/>
          <w:szCs w:val="22"/>
          <w:u w:val="none"/>
        </w:rPr>
        <w:t xml:space="preserve"> of the municipality and municipal entity</w:t>
      </w:r>
      <w:r>
        <w:rPr>
          <w:rStyle w:val="Hyperlink"/>
          <w:rFonts w:ascii="Arial" w:hAnsi="Arial" w:cs="Arial"/>
          <w:color w:val="000000" w:themeColor="text1"/>
          <w:sz w:val="22"/>
          <w:szCs w:val="22"/>
          <w:u w:val="none"/>
        </w:rPr>
        <w:t xml:space="preserve"> to take all reasonable steps to ensure that all money owing by the municipality be paid within 30 days of receiving the relevant invoice or statement.  </w:t>
      </w:r>
      <w:r w:rsidR="00971BB6">
        <w:rPr>
          <w:rStyle w:val="Hyperlink"/>
          <w:rFonts w:ascii="Arial" w:hAnsi="Arial" w:cs="Arial"/>
          <w:color w:val="000000" w:themeColor="text1"/>
          <w:sz w:val="22"/>
          <w:szCs w:val="22"/>
          <w:u w:val="none"/>
        </w:rPr>
        <w:t xml:space="preserve"> </w:t>
      </w:r>
    </w:p>
    <w:p w:rsidR="006869BC" w:rsidRPr="006869BC" w:rsidRDefault="006869BC" w:rsidP="006D6054">
      <w:pPr>
        <w:tabs>
          <w:tab w:val="left" w:pos="720"/>
          <w:tab w:val="left" w:pos="864"/>
        </w:tabs>
        <w:spacing w:after="120" w:line="360" w:lineRule="auto"/>
        <w:jc w:val="both"/>
        <w:rPr>
          <w:rFonts w:ascii="Arial" w:hAnsi="Arial" w:cs="Arial"/>
          <w:color w:val="000000" w:themeColor="text1"/>
          <w:sz w:val="22"/>
          <w:szCs w:val="22"/>
        </w:rPr>
      </w:pPr>
      <w:r>
        <w:rPr>
          <w:rStyle w:val="Hyperlink"/>
          <w:rFonts w:ascii="Arial" w:hAnsi="Arial" w:cs="Arial"/>
          <w:color w:val="000000" w:themeColor="text1"/>
          <w:sz w:val="22"/>
          <w:szCs w:val="22"/>
          <w:u w:val="none"/>
        </w:rPr>
        <w:t>Information on invoices specified in the list will be followed up with the relevant institutions to ensure that payment is made.</w:t>
      </w:r>
    </w:p>
    <w:p w:rsidR="00C462EC" w:rsidRPr="00C462EC" w:rsidRDefault="00C462EC" w:rsidP="00C462EC">
      <w:pPr>
        <w:pStyle w:val="Default"/>
      </w:pPr>
    </w:p>
    <w:p w:rsidR="00C462EC" w:rsidRPr="00BE122A" w:rsidRDefault="00BE122A" w:rsidP="00BE122A">
      <w:pPr>
        <w:pStyle w:val="ListParagraph"/>
        <w:numPr>
          <w:ilvl w:val="0"/>
          <w:numId w:val="13"/>
        </w:numPr>
        <w:tabs>
          <w:tab w:val="left" w:pos="720"/>
          <w:tab w:val="left" w:pos="864"/>
        </w:tabs>
        <w:spacing w:after="120" w:line="360" w:lineRule="auto"/>
        <w:ind w:hanging="720"/>
        <w:contextualSpacing w:val="0"/>
        <w:jc w:val="both"/>
        <w:rPr>
          <w:rFonts w:ascii="Arial" w:eastAsia="Calibri" w:hAnsi="Arial" w:cs="Arial"/>
          <w:b/>
          <w:sz w:val="22"/>
          <w:szCs w:val="22"/>
          <w:lang w:val="en-ZA"/>
        </w:rPr>
      </w:pPr>
      <w:r w:rsidRPr="00BE122A">
        <w:rPr>
          <w:rFonts w:ascii="Arial" w:eastAsia="Calibri" w:hAnsi="Arial" w:cs="Arial"/>
          <w:b/>
          <w:sz w:val="22"/>
          <w:szCs w:val="22"/>
          <w:lang w:val="en-ZA"/>
        </w:rPr>
        <w:t>Payment of unpaid invoices</w:t>
      </w:r>
    </w:p>
    <w:p w:rsidR="00E92523" w:rsidRPr="00BE122A" w:rsidRDefault="00D24BF4" w:rsidP="00D24BF4">
      <w:pPr>
        <w:tabs>
          <w:tab w:val="left" w:pos="432"/>
          <w:tab w:val="left" w:pos="864"/>
        </w:tabs>
        <w:spacing w:line="360" w:lineRule="auto"/>
        <w:jc w:val="both"/>
        <w:rPr>
          <w:rFonts w:ascii="Arial" w:hAnsi="Arial" w:cs="Arial"/>
          <w:sz w:val="22"/>
          <w:szCs w:val="22"/>
        </w:rPr>
      </w:pPr>
      <w:r>
        <w:rPr>
          <w:rFonts w:ascii="Arial" w:hAnsi="Arial" w:cs="Arial"/>
          <w:sz w:val="22"/>
          <w:szCs w:val="22"/>
        </w:rPr>
        <w:t>Accounting officers, accounting authorities</w:t>
      </w:r>
      <w:r w:rsidR="00AC0AF0">
        <w:rPr>
          <w:rFonts w:ascii="Arial" w:hAnsi="Arial" w:cs="Arial"/>
          <w:sz w:val="22"/>
          <w:szCs w:val="22"/>
        </w:rPr>
        <w:t xml:space="preserve">, municipal managers and accounting officer of municipal entities </w:t>
      </w:r>
      <w:r>
        <w:rPr>
          <w:rFonts w:ascii="Arial" w:hAnsi="Arial" w:cs="Arial"/>
          <w:sz w:val="22"/>
          <w:szCs w:val="22"/>
        </w:rPr>
        <w:t xml:space="preserve">are entrusted with financial management responsibilities in terms of the Public Finance Management Act, Act No. 1 of 1999 (PFMA) and Municipal Finance </w:t>
      </w:r>
      <w:r w:rsidRPr="00AC0AF0">
        <w:rPr>
          <w:rFonts w:ascii="Arial" w:hAnsi="Arial" w:cs="Arial"/>
          <w:sz w:val="22"/>
          <w:szCs w:val="22"/>
        </w:rPr>
        <w:t xml:space="preserve">Management Act, Act </w:t>
      </w:r>
      <w:r w:rsidR="00AC0AF0" w:rsidRPr="00AC0AF0">
        <w:rPr>
          <w:rFonts w:ascii="Arial" w:hAnsi="Arial" w:cs="Arial"/>
          <w:sz w:val="22"/>
          <w:szCs w:val="22"/>
        </w:rPr>
        <w:t>56 of 2003</w:t>
      </w:r>
      <w:r w:rsidRPr="00AC0AF0">
        <w:rPr>
          <w:rFonts w:ascii="Arial" w:hAnsi="Arial" w:cs="Arial"/>
          <w:sz w:val="22"/>
          <w:szCs w:val="22"/>
        </w:rPr>
        <w:t xml:space="preserve"> (MFMA)</w:t>
      </w:r>
      <w:r w:rsidR="000D4114" w:rsidRPr="00AC0AF0">
        <w:rPr>
          <w:rFonts w:ascii="Arial" w:hAnsi="Arial" w:cs="Arial"/>
          <w:sz w:val="22"/>
          <w:szCs w:val="22"/>
        </w:rPr>
        <w:t xml:space="preserve"> </w:t>
      </w:r>
      <w:r w:rsidRPr="00AC0AF0">
        <w:rPr>
          <w:rFonts w:ascii="Arial" w:hAnsi="Arial" w:cs="Arial"/>
          <w:sz w:val="22"/>
          <w:szCs w:val="22"/>
        </w:rPr>
        <w:t>to ensure that all contractual obligations are met and that payment</w:t>
      </w:r>
      <w:r>
        <w:rPr>
          <w:rFonts w:ascii="Arial" w:hAnsi="Arial" w:cs="Arial"/>
          <w:sz w:val="22"/>
          <w:szCs w:val="22"/>
        </w:rPr>
        <w:t xml:space="preserve"> to suppliers are made on time. Accountability arrangements in terms of these two pieces of legislation require each institution</w:t>
      </w:r>
      <w:r w:rsidR="000D4114" w:rsidRPr="000D4114">
        <w:rPr>
          <w:rFonts w:ascii="Arial" w:hAnsi="Arial" w:cs="Arial"/>
          <w:sz w:val="22"/>
          <w:szCs w:val="22"/>
        </w:rPr>
        <w:t xml:space="preserve"> </w:t>
      </w:r>
      <w:r>
        <w:rPr>
          <w:rFonts w:ascii="Arial" w:hAnsi="Arial" w:cs="Arial"/>
          <w:sz w:val="22"/>
          <w:szCs w:val="22"/>
        </w:rPr>
        <w:t xml:space="preserve">to </w:t>
      </w:r>
      <w:r w:rsidR="000D4114" w:rsidRPr="000D4114">
        <w:rPr>
          <w:rFonts w:ascii="Arial" w:hAnsi="Arial" w:cs="Arial"/>
          <w:sz w:val="22"/>
          <w:szCs w:val="22"/>
        </w:rPr>
        <w:t xml:space="preserve">plan, budget, contract and pay for </w:t>
      </w:r>
      <w:r>
        <w:rPr>
          <w:rFonts w:ascii="Arial" w:hAnsi="Arial" w:cs="Arial"/>
          <w:sz w:val="22"/>
          <w:szCs w:val="22"/>
        </w:rPr>
        <w:t xml:space="preserve">goods delivered and </w:t>
      </w:r>
      <w:r w:rsidR="000D4114" w:rsidRPr="000D4114">
        <w:rPr>
          <w:rFonts w:ascii="Arial" w:hAnsi="Arial" w:cs="Arial"/>
          <w:sz w:val="22"/>
          <w:szCs w:val="22"/>
        </w:rPr>
        <w:t xml:space="preserve">services </w:t>
      </w:r>
      <w:r w:rsidR="00666109" w:rsidRPr="000D4114">
        <w:rPr>
          <w:rFonts w:ascii="Arial" w:hAnsi="Arial" w:cs="Arial"/>
          <w:sz w:val="22"/>
          <w:szCs w:val="22"/>
        </w:rPr>
        <w:t>rendered,</w:t>
      </w:r>
      <w:r w:rsidR="000D4114">
        <w:rPr>
          <w:rFonts w:ascii="Arial" w:hAnsi="Arial" w:cs="Arial"/>
          <w:sz w:val="22"/>
          <w:szCs w:val="22"/>
        </w:rPr>
        <w:t xml:space="preserve"> and</w:t>
      </w:r>
      <w:r>
        <w:rPr>
          <w:rFonts w:ascii="Arial" w:hAnsi="Arial" w:cs="Arial"/>
          <w:sz w:val="22"/>
          <w:szCs w:val="22"/>
        </w:rPr>
        <w:t xml:space="preserve"> it</w:t>
      </w:r>
      <w:r w:rsidR="000D4114">
        <w:rPr>
          <w:rFonts w:ascii="Arial" w:hAnsi="Arial" w:cs="Arial"/>
          <w:sz w:val="22"/>
          <w:szCs w:val="22"/>
        </w:rPr>
        <w:t xml:space="preserve"> </w:t>
      </w:r>
      <w:r w:rsidR="00BE122A">
        <w:rPr>
          <w:rFonts w:ascii="Arial" w:hAnsi="Arial" w:cs="Arial"/>
          <w:sz w:val="22"/>
          <w:szCs w:val="22"/>
        </w:rPr>
        <w:t>is</w:t>
      </w:r>
      <w:r w:rsidR="007172F3">
        <w:rPr>
          <w:rFonts w:ascii="Arial" w:hAnsi="Arial" w:cs="Arial"/>
          <w:sz w:val="22"/>
          <w:szCs w:val="22"/>
        </w:rPr>
        <w:t>, therefore,</w:t>
      </w:r>
      <w:r w:rsidR="00BE122A">
        <w:rPr>
          <w:rFonts w:ascii="Arial" w:hAnsi="Arial" w:cs="Arial"/>
          <w:sz w:val="22"/>
          <w:szCs w:val="22"/>
        </w:rPr>
        <w:t xml:space="preserve"> </w:t>
      </w:r>
      <w:r w:rsidR="000D4114">
        <w:rPr>
          <w:rFonts w:ascii="Arial" w:hAnsi="Arial" w:cs="Arial"/>
          <w:sz w:val="22"/>
          <w:szCs w:val="22"/>
        </w:rPr>
        <w:t xml:space="preserve">the </w:t>
      </w:r>
      <w:r w:rsidR="00BE122A">
        <w:rPr>
          <w:rFonts w:ascii="Arial" w:hAnsi="Arial" w:cs="Arial"/>
          <w:sz w:val="22"/>
          <w:szCs w:val="22"/>
        </w:rPr>
        <w:t xml:space="preserve">responsibility of the </w:t>
      </w:r>
      <w:r>
        <w:rPr>
          <w:rFonts w:ascii="Arial" w:hAnsi="Arial" w:cs="Arial"/>
          <w:sz w:val="22"/>
          <w:szCs w:val="22"/>
        </w:rPr>
        <w:t>institution to ensure that</w:t>
      </w:r>
      <w:r w:rsidR="00BE122A">
        <w:rPr>
          <w:rFonts w:ascii="Arial" w:hAnsi="Arial" w:cs="Arial"/>
          <w:sz w:val="22"/>
          <w:szCs w:val="22"/>
        </w:rPr>
        <w:t xml:space="preserve"> all valid invoices </w:t>
      </w:r>
      <w:r>
        <w:rPr>
          <w:rFonts w:ascii="Arial" w:hAnsi="Arial" w:cs="Arial"/>
          <w:sz w:val="22"/>
          <w:szCs w:val="22"/>
        </w:rPr>
        <w:t>pa</w:t>
      </w:r>
      <w:r w:rsidR="00BE122A">
        <w:rPr>
          <w:rFonts w:ascii="Arial" w:hAnsi="Arial" w:cs="Arial"/>
          <w:sz w:val="22"/>
          <w:szCs w:val="22"/>
        </w:rPr>
        <w:t xml:space="preserve">id </w:t>
      </w:r>
      <w:r>
        <w:rPr>
          <w:rFonts w:ascii="Arial" w:hAnsi="Arial" w:cs="Arial"/>
          <w:sz w:val="22"/>
          <w:szCs w:val="22"/>
        </w:rPr>
        <w:t xml:space="preserve">on time. </w:t>
      </w:r>
    </w:p>
    <w:p w:rsidR="00D24BF4" w:rsidRDefault="00D24BF4" w:rsidP="00C96C3F">
      <w:pPr>
        <w:tabs>
          <w:tab w:val="left" w:pos="432"/>
          <w:tab w:val="left" w:pos="864"/>
        </w:tabs>
        <w:spacing w:line="360" w:lineRule="auto"/>
        <w:jc w:val="both"/>
        <w:rPr>
          <w:rFonts w:ascii="Arial" w:hAnsi="Arial" w:cs="Arial"/>
          <w:b/>
          <w:sz w:val="22"/>
          <w:szCs w:val="22"/>
          <w:u w:val="single"/>
        </w:rPr>
      </w:pPr>
    </w:p>
    <w:p w:rsidR="00A6124C" w:rsidRDefault="006869BC" w:rsidP="00C96C3F">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The </w:t>
      </w:r>
      <w:r w:rsidR="00FC3C23" w:rsidRPr="00D24BF4">
        <w:rPr>
          <w:rFonts w:ascii="Arial" w:hAnsi="Arial" w:cs="Arial"/>
          <w:sz w:val="22"/>
          <w:szCs w:val="22"/>
        </w:rPr>
        <w:t>National</w:t>
      </w:r>
      <w:r w:rsidR="00FC3C23">
        <w:rPr>
          <w:rFonts w:ascii="Arial" w:hAnsi="Arial" w:cs="Arial"/>
          <w:sz w:val="22"/>
          <w:szCs w:val="22"/>
        </w:rPr>
        <w:t xml:space="preserve"> Treasury </w:t>
      </w:r>
      <w:r w:rsidR="00D24BF4">
        <w:rPr>
          <w:rFonts w:ascii="Arial" w:hAnsi="Arial" w:cs="Arial"/>
          <w:sz w:val="22"/>
          <w:szCs w:val="22"/>
        </w:rPr>
        <w:t>does not</w:t>
      </w:r>
      <w:r w:rsidR="000D4114">
        <w:rPr>
          <w:rFonts w:ascii="Arial" w:hAnsi="Arial" w:cs="Arial"/>
          <w:sz w:val="22"/>
          <w:szCs w:val="22"/>
        </w:rPr>
        <w:t xml:space="preserve"> </w:t>
      </w:r>
      <w:r>
        <w:rPr>
          <w:rFonts w:ascii="Arial" w:hAnsi="Arial" w:cs="Arial"/>
          <w:sz w:val="22"/>
          <w:szCs w:val="22"/>
        </w:rPr>
        <w:t xml:space="preserve">make </w:t>
      </w:r>
      <w:r w:rsidR="000D4114">
        <w:rPr>
          <w:rFonts w:ascii="Arial" w:hAnsi="Arial" w:cs="Arial"/>
          <w:sz w:val="22"/>
          <w:szCs w:val="22"/>
        </w:rPr>
        <w:t>pay</w:t>
      </w:r>
      <w:r>
        <w:rPr>
          <w:rFonts w:ascii="Arial" w:hAnsi="Arial" w:cs="Arial"/>
          <w:sz w:val="22"/>
          <w:szCs w:val="22"/>
        </w:rPr>
        <w:t xml:space="preserve">ments to supplier’s invoices that remain unpaid by other organs of state </w:t>
      </w:r>
      <w:r w:rsidR="00D24BF4">
        <w:rPr>
          <w:rFonts w:ascii="Arial" w:hAnsi="Arial" w:cs="Arial"/>
          <w:sz w:val="22"/>
          <w:szCs w:val="22"/>
        </w:rPr>
        <w:t>due to accountability arrangements</w:t>
      </w:r>
      <w:r>
        <w:rPr>
          <w:rFonts w:ascii="Arial" w:hAnsi="Arial" w:cs="Arial"/>
          <w:sz w:val="22"/>
          <w:szCs w:val="22"/>
        </w:rPr>
        <w:t xml:space="preserve"> embedded in </w:t>
      </w:r>
      <w:r w:rsidR="00D24BF4">
        <w:rPr>
          <w:rFonts w:ascii="Arial" w:hAnsi="Arial" w:cs="Arial"/>
          <w:sz w:val="22"/>
          <w:szCs w:val="22"/>
        </w:rPr>
        <w:t xml:space="preserve">the PFMA and the MFMA. </w:t>
      </w:r>
      <w:r>
        <w:rPr>
          <w:rFonts w:ascii="Arial" w:hAnsi="Arial" w:cs="Arial"/>
          <w:sz w:val="22"/>
          <w:szCs w:val="22"/>
        </w:rPr>
        <w:t xml:space="preserve">The Call Centre is used to assist suppliers to ensure that organs of state adhere to legislative requirements and honor their contractual obligations. </w:t>
      </w:r>
    </w:p>
    <w:p w:rsidR="000D4114" w:rsidRDefault="000D4114" w:rsidP="00C96C3F">
      <w:pPr>
        <w:tabs>
          <w:tab w:val="left" w:pos="432"/>
          <w:tab w:val="left" w:pos="864"/>
        </w:tabs>
        <w:spacing w:line="360" w:lineRule="auto"/>
        <w:jc w:val="both"/>
        <w:rPr>
          <w:rFonts w:ascii="Arial" w:hAnsi="Arial" w:cs="Arial"/>
          <w:sz w:val="22"/>
          <w:szCs w:val="22"/>
        </w:rPr>
      </w:pPr>
    </w:p>
    <w:p w:rsidR="003D13F2" w:rsidRDefault="003D13F2" w:rsidP="007A78C0">
      <w:pPr>
        <w:tabs>
          <w:tab w:val="left" w:pos="432"/>
          <w:tab w:val="left" w:pos="864"/>
        </w:tabs>
        <w:spacing w:line="360" w:lineRule="auto"/>
        <w:rPr>
          <w:rFonts w:ascii="Arial" w:hAnsi="Arial" w:cs="Arial"/>
          <w:b/>
          <w:sz w:val="22"/>
          <w:szCs w:val="22"/>
          <w:u w:val="single"/>
        </w:rPr>
      </w:pPr>
    </w:p>
    <w:p w:rsidR="003D13F2" w:rsidRDefault="003D13F2" w:rsidP="007A78C0">
      <w:pPr>
        <w:tabs>
          <w:tab w:val="left" w:pos="432"/>
          <w:tab w:val="left" w:pos="864"/>
        </w:tabs>
        <w:spacing w:line="360" w:lineRule="auto"/>
        <w:rPr>
          <w:rFonts w:ascii="Arial" w:hAnsi="Arial" w:cs="Arial"/>
          <w:b/>
          <w:sz w:val="22"/>
          <w:szCs w:val="22"/>
          <w:u w:val="single"/>
        </w:rPr>
      </w:pPr>
    </w:p>
    <w:p w:rsidR="00A43D30" w:rsidRDefault="00A43D30" w:rsidP="007A78C0">
      <w:pPr>
        <w:tabs>
          <w:tab w:val="left" w:pos="432"/>
          <w:tab w:val="left" w:pos="864"/>
        </w:tabs>
        <w:spacing w:line="360" w:lineRule="auto"/>
        <w:rPr>
          <w:rFonts w:ascii="Arial" w:hAnsi="Arial" w:cs="Arial"/>
          <w:b/>
          <w:sz w:val="22"/>
          <w:szCs w:val="22"/>
          <w:u w:val="single"/>
        </w:rPr>
      </w:pPr>
    </w:p>
    <w:p w:rsidR="00A43D30" w:rsidRDefault="00A43D30" w:rsidP="007A78C0">
      <w:pPr>
        <w:tabs>
          <w:tab w:val="left" w:pos="432"/>
          <w:tab w:val="left" w:pos="864"/>
        </w:tabs>
        <w:spacing w:line="360" w:lineRule="auto"/>
        <w:rPr>
          <w:rFonts w:ascii="Arial" w:hAnsi="Arial" w:cs="Arial"/>
          <w:b/>
          <w:sz w:val="22"/>
          <w:szCs w:val="22"/>
          <w:u w:val="single"/>
        </w:rPr>
      </w:pPr>
    </w:p>
    <w:p w:rsidR="00C96C3F" w:rsidRDefault="00C96C3F" w:rsidP="00A60DDB">
      <w:pPr>
        <w:tabs>
          <w:tab w:val="left" w:pos="432"/>
          <w:tab w:val="left" w:pos="864"/>
        </w:tabs>
        <w:spacing w:line="360" w:lineRule="auto"/>
        <w:rPr>
          <w:rFonts w:ascii="Arial" w:hAnsi="Arial" w:cs="Arial"/>
          <w:b/>
          <w:sz w:val="22"/>
          <w:szCs w:val="22"/>
          <w:u w:val="single"/>
        </w:rPr>
      </w:pPr>
    </w:p>
    <w:p w:rsidR="00C96C3F" w:rsidRDefault="00C96C3F" w:rsidP="00A60DDB">
      <w:pPr>
        <w:tabs>
          <w:tab w:val="left" w:pos="432"/>
          <w:tab w:val="left" w:pos="864"/>
        </w:tabs>
        <w:spacing w:line="360" w:lineRule="auto"/>
        <w:rPr>
          <w:rFonts w:ascii="Arial" w:hAnsi="Arial" w:cs="Arial"/>
          <w:b/>
          <w:sz w:val="22"/>
          <w:szCs w:val="22"/>
          <w:u w:val="single"/>
        </w:rPr>
      </w:pPr>
    </w:p>
    <w:sectPr w:rsidR="00C96C3F"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2E" w:rsidRDefault="00195D2E" w:rsidP="00380E88">
      <w:r>
        <w:separator/>
      </w:r>
    </w:p>
  </w:endnote>
  <w:endnote w:type="continuationSeparator" w:id="0">
    <w:p w:rsidR="00195D2E" w:rsidRDefault="00195D2E"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2E" w:rsidRDefault="00195D2E" w:rsidP="00380E88">
      <w:r>
        <w:separator/>
      </w:r>
    </w:p>
  </w:footnote>
  <w:footnote w:type="continuationSeparator" w:id="0">
    <w:p w:rsidR="00195D2E" w:rsidRDefault="00195D2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B621D"/>
    <w:multiLevelType w:val="hybridMultilevel"/>
    <w:tmpl w:val="8CC93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9A9863"/>
    <w:multiLevelType w:val="hybridMultilevel"/>
    <w:tmpl w:val="60DB3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90352"/>
    <w:multiLevelType w:val="hybridMultilevel"/>
    <w:tmpl w:val="3D9524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261E1D"/>
    <w:multiLevelType w:val="hybridMultilevel"/>
    <w:tmpl w:val="CA604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3"/>
  </w:num>
  <w:num w:numId="6">
    <w:abstractNumId w:val="5"/>
  </w:num>
  <w:num w:numId="7">
    <w:abstractNumId w:val="5"/>
  </w:num>
  <w:num w:numId="8">
    <w:abstractNumId w:val="14"/>
  </w:num>
  <w:num w:numId="9">
    <w:abstractNumId w:val="4"/>
  </w:num>
  <w:num w:numId="10">
    <w:abstractNumId w:val="7"/>
  </w:num>
  <w:num w:numId="11">
    <w:abstractNumId w:val="12"/>
  </w:num>
  <w:num w:numId="12">
    <w:abstractNumId w:val="9"/>
  </w:num>
  <w:num w:numId="13">
    <w:abstractNumId w:val="3"/>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0NjO1NDEytDAzNzdW0lEKTi0uzszPAykwqgUAOaC3WCwAAAA="/>
  </w:docVars>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655C"/>
    <w:rsid w:val="0007743C"/>
    <w:rsid w:val="00082DDF"/>
    <w:rsid w:val="0008596C"/>
    <w:rsid w:val="000A3C32"/>
    <w:rsid w:val="000A5567"/>
    <w:rsid w:val="000A57B1"/>
    <w:rsid w:val="000B16E9"/>
    <w:rsid w:val="000B51CC"/>
    <w:rsid w:val="000B555E"/>
    <w:rsid w:val="000C2BEF"/>
    <w:rsid w:val="000C3917"/>
    <w:rsid w:val="000C48D8"/>
    <w:rsid w:val="000D4114"/>
    <w:rsid w:val="000D5DF7"/>
    <w:rsid w:val="000D72AC"/>
    <w:rsid w:val="000E1B36"/>
    <w:rsid w:val="000E38E0"/>
    <w:rsid w:val="000E3AD1"/>
    <w:rsid w:val="000F3B14"/>
    <w:rsid w:val="000F5178"/>
    <w:rsid w:val="00100CC2"/>
    <w:rsid w:val="00110946"/>
    <w:rsid w:val="00122C88"/>
    <w:rsid w:val="00123B87"/>
    <w:rsid w:val="00130348"/>
    <w:rsid w:val="00132CAF"/>
    <w:rsid w:val="00132CF0"/>
    <w:rsid w:val="001433AE"/>
    <w:rsid w:val="001440F4"/>
    <w:rsid w:val="0014441E"/>
    <w:rsid w:val="00147193"/>
    <w:rsid w:val="0015727B"/>
    <w:rsid w:val="001646A4"/>
    <w:rsid w:val="00170407"/>
    <w:rsid w:val="00172C3D"/>
    <w:rsid w:val="00183EB5"/>
    <w:rsid w:val="00195D2E"/>
    <w:rsid w:val="00197576"/>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175C2"/>
    <w:rsid w:val="00223863"/>
    <w:rsid w:val="0022502D"/>
    <w:rsid w:val="00230BF6"/>
    <w:rsid w:val="002314BC"/>
    <w:rsid w:val="002372AA"/>
    <w:rsid w:val="00251791"/>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3B2F"/>
    <w:rsid w:val="002D499A"/>
    <w:rsid w:val="002E4AA0"/>
    <w:rsid w:val="002F19F9"/>
    <w:rsid w:val="002F6E86"/>
    <w:rsid w:val="003005D2"/>
    <w:rsid w:val="003258A5"/>
    <w:rsid w:val="00326CF2"/>
    <w:rsid w:val="003421BD"/>
    <w:rsid w:val="00344553"/>
    <w:rsid w:val="00345531"/>
    <w:rsid w:val="00346695"/>
    <w:rsid w:val="00351BF5"/>
    <w:rsid w:val="00354BA4"/>
    <w:rsid w:val="003707A7"/>
    <w:rsid w:val="00372A7E"/>
    <w:rsid w:val="00374DCE"/>
    <w:rsid w:val="0037795E"/>
    <w:rsid w:val="00380E88"/>
    <w:rsid w:val="00393919"/>
    <w:rsid w:val="003A5B00"/>
    <w:rsid w:val="003A6BD5"/>
    <w:rsid w:val="003B0336"/>
    <w:rsid w:val="003B0A2D"/>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46D32"/>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57960"/>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01CAB"/>
    <w:rsid w:val="00613FC6"/>
    <w:rsid w:val="006239F1"/>
    <w:rsid w:val="00624D20"/>
    <w:rsid w:val="0062770E"/>
    <w:rsid w:val="00631CD4"/>
    <w:rsid w:val="00641158"/>
    <w:rsid w:val="0064275F"/>
    <w:rsid w:val="00642B16"/>
    <w:rsid w:val="0064512A"/>
    <w:rsid w:val="00646E7C"/>
    <w:rsid w:val="00647EF2"/>
    <w:rsid w:val="00651616"/>
    <w:rsid w:val="00653A85"/>
    <w:rsid w:val="00666109"/>
    <w:rsid w:val="00666668"/>
    <w:rsid w:val="00675635"/>
    <w:rsid w:val="00675C73"/>
    <w:rsid w:val="00685058"/>
    <w:rsid w:val="00685F0E"/>
    <w:rsid w:val="006869BC"/>
    <w:rsid w:val="00687D9E"/>
    <w:rsid w:val="00693A64"/>
    <w:rsid w:val="006951C6"/>
    <w:rsid w:val="006B61B0"/>
    <w:rsid w:val="006C100F"/>
    <w:rsid w:val="006C2D5C"/>
    <w:rsid w:val="006D1766"/>
    <w:rsid w:val="006D1B36"/>
    <w:rsid w:val="006D2C61"/>
    <w:rsid w:val="006D2F61"/>
    <w:rsid w:val="006D39E9"/>
    <w:rsid w:val="006D6054"/>
    <w:rsid w:val="006E030F"/>
    <w:rsid w:val="006E2B34"/>
    <w:rsid w:val="006E732C"/>
    <w:rsid w:val="007068B5"/>
    <w:rsid w:val="007075D0"/>
    <w:rsid w:val="007118EA"/>
    <w:rsid w:val="00712545"/>
    <w:rsid w:val="00712E95"/>
    <w:rsid w:val="007172F3"/>
    <w:rsid w:val="00726A9C"/>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337F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1BE"/>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1BB6"/>
    <w:rsid w:val="00972601"/>
    <w:rsid w:val="0097786E"/>
    <w:rsid w:val="00977E9D"/>
    <w:rsid w:val="00986C1B"/>
    <w:rsid w:val="00987BC9"/>
    <w:rsid w:val="0099170A"/>
    <w:rsid w:val="009A18A7"/>
    <w:rsid w:val="009C45D6"/>
    <w:rsid w:val="009C72B2"/>
    <w:rsid w:val="009E1AB2"/>
    <w:rsid w:val="009E24E9"/>
    <w:rsid w:val="009F2415"/>
    <w:rsid w:val="009F480A"/>
    <w:rsid w:val="009F48C6"/>
    <w:rsid w:val="009F5278"/>
    <w:rsid w:val="00A02200"/>
    <w:rsid w:val="00A04C6D"/>
    <w:rsid w:val="00A15D3C"/>
    <w:rsid w:val="00A1736D"/>
    <w:rsid w:val="00A23A3E"/>
    <w:rsid w:val="00A337C8"/>
    <w:rsid w:val="00A352EA"/>
    <w:rsid w:val="00A359DB"/>
    <w:rsid w:val="00A43D30"/>
    <w:rsid w:val="00A45496"/>
    <w:rsid w:val="00A45FE5"/>
    <w:rsid w:val="00A51431"/>
    <w:rsid w:val="00A525F0"/>
    <w:rsid w:val="00A55CB3"/>
    <w:rsid w:val="00A566A2"/>
    <w:rsid w:val="00A5731A"/>
    <w:rsid w:val="00A60DDB"/>
    <w:rsid w:val="00A6124C"/>
    <w:rsid w:val="00A677C3"/>
    <w:rsid w:val="00A72B9B"/>
    <w:rsid w:val="00A768F1"/>
    <w:rsid w:val="00A84063"/>
    <w:rsid w:val="00A952EA"/>
    <w:rsid w:val="00AA4ED9"/>
    <w:rsid w:val="00AB5748"/>
    <w:rsid w:val="00AB5B28"/>
    <w:rsid w:val="00AC0AF0"/>
    <w:rsid w:val="00AD00CE"/>
    <w:rsid w:val="00AD1B6E"/>
    <w:rsid w:val="00AD5C9B"/>
    <w:rsid w:val="00AE07DE"/>
    <w:rsid w:val="00AE403B"/>
    <w:rsid w:val="00B03AF4"/>
    <w:rsid w:val="00B03DD6"/>
    <w:rsid w:val="00B1562B"/>
    <w:rsid w:val="00B20E37"/>
    <w:rsid w:val="00B31AAE"/>
    <w:rsid w:val="00B33866"/>
    <w:rsid w:val="00B35E0C"/>
    <w:rsid w:val="00B447E6"/>
    <w:rsid w:val="00B51629"/>
    <w:rsid w:val="00B53E8E"/>
    <w:rsid w:val="00B57527"/>
    <w:rsid w:val="00B62882"/>
    <w:rsid w:val="00B65F8F"/>
    <w:rsid w:val="00B668A6"/>
    <w:rsid w:val="00B70C7B"/>
    <w:rsid w:val="00B716A6"/>
    <w:rsid w:val="00B75BBC"/>
    <w:rsid w:val="00B76831"/>
    <w:rsid w:val="00B76B61"/>
    <w:rsid w:val="00B77F67"/>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122A"/>
    <w:rsid w:val="00BE533B"/>
    <w:rsid w:val="00BF3BCF"/>
    <w:rsid w:val="00C06302"/>
    <w:rsid w:val="00C223DB"/>
    <w:rsid w:val="00C25C7E"/>
    <w:rsid w:val="00C26CCD"/>
    <w:rsid w:val="00C312EA"/>
    <w:rsid w:val="00C32942"/>
    <w:rsid w:val="00C3410D"/>
    <w:rsid w:val="00C375AF"/>
    <w:rsid w:val="00C401F8"/>
    <w:rsid w:val="00C41105"/>
    <w:rsid w:val="00C44C35"/>
    <w:rsid w:val="00C462EC"/>
    <w:rsid w:val="00C472D6"/>
    <w:rsid w:val="00C526D5"/>
    <w:rsid w:val="00C56D83"/>
    <w:rsid w:val="00C60822"/>
    <w:rsid w:val="00C60A55"/>
    <w:rsid w:val="00C61072"/>
    <w:rsid w:val="00C65A57"/>
    <w:rsid w:val="00C77F83"/>
    <w:rsid w:val="00C87C5C"/>
    <w:rsid w:val="00C905A7"/>
    <w:rsid w:val="00C96C3F"/>
    <w:rsid w:val="00CB034C"/>
    <w:rsid w:val="00CB4FDB"/>
    <w:rsid w:val="00CB51AD"/>
    <w:rsid w:val="00CC2F3E"/>
    <w:rsid w:val="00CC7673"/>
    <w:rsid w:val="00D01E04"/>
    <w:rsid w:val="00D05765"/>
    <w:rsid w:val="00D1433D"/>
    <w:rsid w:val="00D17D13"/>
    <w:rsid w:val="00D20E78"/>
    <w:rsid w:val="00D20F25"/>
    <w:rsid w:val="00D24BF4"/>
    <w:rsid w:val="00D2724B"/>
    <w:rsid w:val="00D332C0"/>
    <w:rsid w:val="00D3397E"/>
    <w:rsid w:val="00D3403D"/>
    <w:rsid w:val="00D34050"/>
    <w:rsid w:val="00D363B6"/>
    <w:rsid w:val="00D37422"/>
    <w:rsid w:val="00D46E69"/>
    <w:rsid w:val="00D61422"/>
    <w:rsid w:val="00D74F80"/>
    <w:rsid w:val="00D761DC"/>
    <w:rsid w:val="00DA5CF5"/>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0DF9"/>
    <w:rsid w:val="00E42AEE"/>
    <w:rsid w:val="00E43A5D"/>
    <w:rsid w:val="00E533D0"/>
    <w:rsid w:val="00E55071"/>
    <w:rsid w:val="00E60C8B"/>
    <w:rsid w:val="00E60EE1"/>
    <w:rsid w:val="00E72F99"/>
    <w:rsid w:val="00E77DF6"/>
    <w:rsid w:val="00E816E4"/>
    <w:rsid w:val="00E8352B"/>
    <w:rsid w:val="00E92015"/>
    <w:rsid w:val="00E92523"/>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4E2A"/>
    <w:rsid w:val="00F87EA6"/>
    <w:rsid w:val="00F903C3"/>
    <w:rsid w:val="00FA49A9"/>
    <w:rsid w:val="00FB0ABC"/>
    <w:rsid w:val="00FB5217"/>
    <w:rsid w:val="00FC2064"/>
    <w:rsid w:val="00FC2209"/>
    <w:rsid w:val="00FC224A"/>
    <w:rsid w:val="00FC3C23"/>
    <w:rsid w:val="00FC4E03"/>
    <w:rsid w:val="00FC671C"/>
    <w:rsid w:val="00FD2E66"/>
    <w:rsid w:val="00FD595E"/>
    <w:rsid w:val="00FD64A0"/>
    <w:rsid w:val="00FE4A54"/>
    <w:rsid w:val="00FE6729"/>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paragraph" w:customStyle="1" w:styleId="Default">
    <w:name w:val="Default"/>
    <w:rsid w:val="00C462EC"/>
    <w:pPr>
      <w:autoSpaceDE w:val="0"/>
      <w:autoSpaceDN w:val="0"/>
      <w:adjustRightInd w:val="0"/>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6D60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179004683">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06481571">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daysqueries@treasury.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B16B-ABF6-4942-A6F7-83C5E1AD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2021-05-20T12:19:00Z</dcterms:created>
  <dcterms:modified xsi:type="dcterms:W3CDTF">2021-05-20T12:19:00Z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