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6Colorful-Accent3"/>
        <w:tblW w:w="0" w:type="auto"/>
        <w:tblLook w:val="04A0" w:firstRow="1" w:lastRow="0" w:firstColumn="1" w:lastColumn="0" w:noHBand="0" w:noVBand="1"/>
      </w:tblPr>
      <w:tblGrid>
        <w:gridCol w:w="9016"/>
      </w:tblGrid>
      <w:tr w:rsidR="005B69E5" w:rsidTr="00414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bookmarkStart w:id="0" w:name="_GoBack"/>
            <w:bookmarkEnd w:id="0"/>
            <w:r w:rsidRPr="00114EE5">
              <w:rPr>
                <w:rFonts w:ascii="Arial" w:hAnsi="Arial" w:cs="Arial"/>
                <w:color w:val="auto"/>
              </w:rPr>
              <w:t>MEMORANDUM FROM THE PARLIAMENTARY OFFICE</w:t>
            </w:r>
          </w:p>
        </w:tc>
      </w:tr>
    </w:tbl>
    <w:p w:rsidR="00BB6A2B" w:rsidRPr="00BB6A2B" w:rsidRDefault="00BB6A2B" w:rsidP="00BB6A2B">
      <w:pPr>
        <w:spacing w:before="240" w:after="240" w:line="360" w:lineRule="auto"/>
        <w:jc w:val="center"/>
        <w:rPr>
          <w:rFonts w:ascii="Arial" w:hAnsi="Arial" w:cs="Arial"/>
          <w:b/>
          <w:bCs/>
          <w:lang w:val="en-ZA"/>
        </w:rPr>
      </w:pPr>
      <w:r w:rsidRPr="00BB6A2B">
        <w:rPr>
          <w:rFonts w:ascii="Arial" w:hAnsi="Arial" w:cs="Arial"/>
          <w:b/>
          <w:bCs/>
          <w:lang w:val="en-ZA"/>
        </w:rPr>
        <w:t xml:space="preserve">NATIONAL ASSEMBLY </w:t>
      </w:r>
    </w:p>
    <w:p w:rsidR="00BB6A2B" w:rsidRPr="00BB6A2B" w:rsidRDefault="00BB6A2B" w:rsidP="00BB6A2B">
      <w:pPr>
        <w:spacing w:before="240" w:after="240" w:line="360" w:lineRule="auto"/>
        <w:jc w:val="center"/>
        <w:rPr>
          <w:rFonts w:ascii="Arial" w:hAnsi="Arial" w:cs="Arial"/>
          <w:b/>
          <w:bCs/>
          <w:lang w:val="en-ZA"/>
        </w:rPr>
      </w:pPr>
      <w:r w:rsidRPr="00BB6A2B">
        <w:rPr>
          <w:rFonts w:ascii="Arial" w:hAnsi="Arial" w:cs="Arial"/>
          <w:b/>
          <w:bCs/>
          <w:lang w:val="en-ZA"/>
        </w:rPr>
        <w:t>FOR WRITTEN REPLY</w:t>
      </w:r>
    </w:p>
    <w:p w:rsidR="00BB6A2B" w:rsidRPr="00BB6A2B" w:rsidRDefault="00BB6A2B" w:rsidP="00BB6A2B">
      <w:pPr>
        <w:spacing w:before="240" w:after="240" w:line="360" w:lineRule="auto"/>
        <w:jc w:val="center"/>
        <w:rPr>
          <w:rFonts w:ascii="Arial" w:hAnsi="Arial" w:cs="Arial"/>
          <w:b/>
          <w:bCs/>
          <w:lang w:val="en-ZA"/>
        </w:rPr>
      </w:pPr>
      <w:r w:rsidRPr="00BB6A2B">
        <w:rPr>
          <w:rFonts w:ascii="Arial" w:hAnsi="Arial" w:cs="Arial"/>
          <w:b/>
          <w:bCs/>
          <w:lang w:val="en-ZA"/>
        </w:rPr>
        <w:t>QUESTION 1269</w:t>
      </w:r>
    </w:p>
    <w:p w:rsidR="00BB6A2B" w:rsidRPr="00BB6A2B" w:rsidRDefault="00BB6A2B" w:rsidP="00BB6A2B">
      <w:pPr>
        <w:spacing w:before="240" w:after="240" w:line="360" w:lineRule="auto"/>
        <w:jc w:val="center"/>
        <w:rPr>
          <w:rFonts w:ascii="Arial" w:hAnsi="Arial" w:cs="Arial"/>
          <w:b/>
          <w:bCs/>
          <w:lang w:val="en-ZA"/>
        </w:rPr>
      </w:pPr>
      <w:r w:rsidRPr="00BB6A2B">
        <w:rPr>
          <w:rFonts w:ascii="Arial" w:hAnsi="Arial" w:cs="Arial"/>
          <w:b/>
          <w:bCs/>
          <w:lang w:val="en-ZA"/>
        </w:rPr>
        <w:t>DATE OF PUBLICATION OF INTERNAL QUESTION PAPER: 19/06/2020</w:t>
      </w:r>
    </w:p>
    <w:p w:rsidR="00BB6A2B" w:rsidRPr="00BB6A2B" w:rsidRDefault="00BB6A2B" w:rsidP="00BB6A2B">
      <w:pPr>
        <w:spacing w:before="240" w:after="240" w:line="360" w:lineRule="auto"/>
        <w:jc w:val="center"/>
        <w:rPr>
          <w:rFonts w:ascii="Arial" w:hAnsi="Arial" w:cs="Arial"/>
          <w:b/>
          <w:bCs/>
          <w:lang w:val="en-ZA"/>
        </w:rPr>
      </w:pPr>
      <w:r w:rsidRPr="00BB6A2B">
        <w:rPr>
          <w:rFonts w:ascii="Arial" w:hAnsi="Arial" w:cs="Arial"/>
          <w:b/>
          <w:bCs/>
          <w:lang w:val="en-ZA"/>
        </w:rPr>
        <w:t>INTERNAL QUESTION PAPER NO 22 OF 2020</w:t>
      </w:r>
    </w:p>
    <w:p w:rsidR="00BB6A2B" w:rsidRPr="00BB6A2B" w:rsidRDefault="00BB6A2B" w:rsidP="00BB6A2B">
      <w:pPr>
        <w:spacing w:before="240" w:after="240" w:line="360" w:lineRule="auto"/>
        <w:ind w:left="720" w:hanging="720"/>
        <w:jc w:val="both"/>
        <w:rPr>
          <w:rFonts w:ascii="Arial" w:hAnsi="Arial" w:cs="Arial"/>
          <w:b/>
          <w:lang w:val="en-ZA"/>
        </w:rPr>
      </w:pPr>
      <w:r w:rsidRPr="00BB6A2B">
        <w:rPr>
          <w:rFonts w:ascii="Arial" w:hAnsi="Arial" w:cs="Arial"/>
          <w:b/>
          <w:lang w:val="en-ZA"/>
        </w:rPr>
        <w:t>Ms S J Graham (DA) to ask the Minister of Higher Education, Science and Technology</w:t>
      </w:r>
      <w:r w:rsidRPr="00BB6A2B">
        <w:rPr>
          <w:rFonts w:ascii="Arial" w:hAnsi="Arial" w:cs="Arial"/>
          <w:b/>
          <w:lang w:val="en-ZA"/>
        </w:rPr>
        <w:fldChar w:fldCharType="begin"/>
      </w:r>
      <w:r w:rsidRPr="00BB6A2B">
        <w:rPr>
          <w:rFonts w:ascii="Arial" w:hAnsi="Arial" w:cs="Arial"/>
          <w:lang w:val="en-ZA"/>
        </w:rPr>
        <w:instrText xml:space="preserve"> XE "</w:instrText>
      </w:r>
      <w:r w:rsidRPr="00BB6A2B">
        <w:rPr>
          <w:rFonts w:ascii="Arial" w:hAnsi="Arial" w:cs="Arial"/>
          <w:b/>
          <w:lang w:val="en-ZA"/>
        </w:rPr>
        <w:instrText>Higher Education, Science and Technology</w:instrText>
      </w:r>
      <w:r w:rsidRPr="00BB6A2B">
        <w:rPr>
          <w:rFonts w:ascii="Arial" w:hAnsi="Arial" w:cs="Arial"/>
          <w:lang w:val="en-ZA"/>
        </w:rPr>
        <w:instrText xml:space="preserve">" </w:instrText>
      </w:r>
      <w:r w:rsidRPr="00BB6A2B">
        <w:rPr>
          <w:rFonts w:ascii="Arial" w:hAnsi="Arial" w:cs="Arial"/>
          <w:b/>
          <w:lang w:val="en-ZA"/>
        </w:rPr>
        <w:fldChar w:fldCharType="end"/>
      </w:r>
      <w:r w:rsidRPr="00BB6A2B">
        <w:rPr>
          <w:rFonts w:ascii="Arial" w:hAnsi="Arial" w:cs="Arial"/>
          <w:b/>
          <w:lang w:val="en-ZA"/>
        </w:rPr>
        <w:t>:</w:t>
      </w:r>
    </w:p>
    <w:p w:rsidR="00BB6A2B" w:rsidRPr="00BB6A2B" w:rsidRDefault="00BB6A2B" w:rsidP="00BB6A2B">
      <w:pPr>
        <w:spacing w:before="240" w:after="240" w:line="360" w:lineRule="auto"/>
        <w:jc w:val="both"/>
        <w:rPr>
          <w:rFonts w:ascii="Arial" w:hAnsi="Arial" w:cs="Arial"/>
          <w:color w:val="000000"/>
          <w:lang w:val="en-ZA"/>
        </w:rPr>
      </w:pPr>
      <w:r w:rsidRPr="00BB6A2B">
        <w:rPr>
          <w:rFonts w:ascii="Arial" w:hAnsi="Arial" w:cs="Arial"/>
          <w:lang w:val="en-ZA"/>
        </w:rPr>
        <w:t xml:space="preserve">(a) What are the reasons that none of the 27 students who enrolled for a three year National Certificate Hairdressing programme, conducted by </w:t>
      </w:r>
      <w:proofErr w:type="spellStart"/>
      <w:r w:rsidRPr="00BB6A2B">
        <w:rPr>
          <w:rFonts w:ascii="Arial" w:hAnsi="Arial" w:cs="Arial"/>
          <w:lang w:val="en-ZA"/>
        </w:rPr>
        <w:t>Delcom</w:t>
      </w:r>
      <w:proofErr w:type="spellEnd"/>
      <w:r w:rsidRPr="00BB6A2B">
        <w:rPr>
          <w:rFonts w:ascii="Arial" w:hAnsi="Arial" w:cs="Arial"/>
          <w:lang w:val="en-ZA"/>
        </w:rPr>
        <w:t xml:space="preserve"> Training Institute in Aberdeen in the Eastern Cape that commenced in April 2019, have not been paid their stipend for November 2019, (b) what is the name of each learner who has not been paid any stipend from 1 April 2019 to date, (c) what enforcement mechanism will his department utilise to ensure that payments are effected where owing, (d) what are the time frames stipulated by his department between (</w:t>
      </w:r>
      <w:proofErr w:type="spellStart"/>
      <w:r w:rsidRPr="00BB6A2B">
        <w:rPr>
          <w:rFonts w:ascii="Arial" w:hAnsi="Arial" w:cs="Arial"/>
          <w:lang w:val="en-ZA"/>
        </w:rPr>
        <w:t>i</w:t>
      </w:r>
      <w:proofErr w:type="spellEnd"/>
      <w:r w:rsidRPr="00BB6A2B">
        <w:rPr>
          <w:rFonts w:ascii="Arial" w:hAnsi="Arial" w:cs="Arial"/>
          <w:lang w:val="en-ZA"/>
        </w:rPr>
        <w:t>) completion of a level by a learner; (ii) moderation of the work by the service provider and (iii) commencement of the next level, (e) has the service provider been paid for the period of the lockdown and (f) where the programme has been stalled by the service provider, (</w:t>
      </w:r>
      <w:proofErr w:type="spellStart"/>
      <w:r w:rsidRPr="00BB6A2B">
        <w:rPr>
          <w:rFonts w:ascii="Arial" w:hAnsi="Arial" w:cs="Arial"/>
          <w:lang w:val="en-ZA"/>
        </w:rPr>
        <w:t>i</w:t>
      </w:r>
      <w:proofErr w:type="spellEnd"/>
      <w:r w:rsidRPr="00BB6A2B">
        <w:rPr>
          <w:rFonts w:ascii="Arial" w:hAnsi="Arial" w:cs="Arial"/>
          <w:lang w:val="en-ZA"/>
        </w:rPr>
        <w:t>) will the duration of the programme be extended by the same time frame and (ii) will the students be paid stipends for the additional time?</w:t>
      </w:r>
      <w:r w:rsidRPr="00BB6A2B">
        <w:rPr>
          <w:rFonts w:ascii="Arial" w:hAnsi="Arial" w:cs="Arial"/>
          <w:color w:val="000000"/>
          <w:lang w:val="en-ZA"/>
        </w:rPr>
        <w:tab/>
      </w:r>
      <w:r w:rsidRPr="00BB6A2B">
        <w:rPr>
          <w:rFonts w:ascii="Arial" w:hAnsi="Arial" w:cs="Arial"/>
          <w:color w:val="000000"/>
          <w:lang w:val="en-ZA"/>
        </w:rPr>
        <w:tab/>
      </w:r>
      <w:r w:rsidRPr="00BB6A2B">
        <w:rPr>
          <w:rFonts w:ascii="Arial" w:hAnsi="Arial" w:cs="Arial"/>
          <w:color w:val="000000"/>
          <w:lang w:val="en-ZA"/>
        </w:rPr>
        <w:tab/>
      </w:r>
      <w:r w:rsidRPr="00BB6A2B">
        <w:rPr>
          <w:rFonts w:ascii="Arial" w:hAnsi="Arial" w:cs="Arial"/>
          <w:color w:val="000000"/>
          <w:lang w:val="en-ZA"/>
        </w:rPr>
        <w:tab/>
      </w:r>
      <w:r w:rsidRPr="00BB6A2B">
        <w:rPr>
          <w:rFonts w:ascii="Arial" w:hAnsi="Arial" w:cs="Arial"/>
          <w:color w:val="000000"/>
          <w:lang w:val="en-ZA"/>
        </w:rPr>
        <w:tab/>
      </w:r>
      <w:r w:rsidRPr="00BB6A2B">
        <w:rPr>
          <w:rFonts w:ascii="Arial" w:hAnsi="Arial" w:cs="Arial"/>
          <w:color w:val="000000"/>
          <w:lang w:val="en-ZA"/>
        </w:rPr>
        <w:tab/>
      </w:r>
    </w:p>
    <w:p w:rsidR="00BB6A2B" w:rsidRPr="00BB6A2B" w:rsidRDefault="00BB6A2B" w:rsidP="00BB6A2B">
      <w:pPr>
        <w:spacing w:before="240" w:after="240" w:line="360" w:lineRule="auto"/>
        <w:ind w:left="7200" w:firstLine="720"/>
        <w:jc w:val="both"/>
        <w:rPr>
          <w:rFonts w:ascii="Arial" w:hAnsi="Arial" w:cs="Arial"/>
          <w:b/>
        </w:rPr>
      </w:pPr>
      <w:r w:rsidRPr="00BB6A2B">
        <w:rPr>
          <w:rFonts w:ascii="Arial" w:hAnsi="Arial" w:cs="Arial"/>
          <w:b/>
          <w:lang w:val="en-ZA"/>
        </w:rPr>
        <w:t>NW1636E</w:t>
      </w:r>
    </w:p>
    <w:p w:rsidR="00BB6A2B" w:rsidRDefault="00BB6A2B" w:rsidP="00BB6A2B">
      <w:pPr>
        <w:spacing w:before="240" w:after="240" w:line="360" w:lineRule="auto"/>
        <w:jc w:val="both"/>
        <w:rPr>
          <w:rFonts w:ascii="Arial" w:hAnsi="Arial" w:cs="Arial"/>
          <w:b/>
        </w:rPr>
      </w:pPr>
    </w:p>
    <w:p w:rsidR="00BB6A2B" w:rsidRDefault="00BB6A2B" w:rsidP="00BB6A2B">
      <w:pPr>
        <w:spacing w:before="240" w:after="240" w:line="360" w:lineRule="auto"/>
        <w:jc w:val="both"/>
        <w:rPr>
          <w:rFonts w:ascii="Arial" w:hAnsi="Arial" w:cs="Arial"/>
          <w:b/>
        </w:rPr>
      </w:pPr>
    </w:p>
    <w:p w:rsidR="00BB6A2B" w:rsidRDefault="00BB6A2B" w:rsidP="00BB6A2B">
      <w:pPr>
        <w:spacing w:before="240" w:after="240" w:line="360" w:lineRule="auto"/>
        <w:jc w:val="both"/>
        <w:rPr>
          <w:rFonts w:ascii="Arial" w:hAnsi="Arial" w:cs="Arial"/>
          <w:b/>
        </w:rPr>
      </w:pPr>
    </w:p>
    <w:p w:rsidR="00BB6A2B" w:rsidRDefault="00BB6A2B" w:rsidP="00BB6A2B">
      <w:pPr>
        <w:spacing w:before="240" w:after="240" w:line="360" w:lineRule="auto"/>
        <w:jc w:val="both"/>
        <w:rPr>
          <w:rFonts w:ascii="Arial" w:hAnsi="Arial" w:cs="Arial"/>
          <w:b/>
        </w:rPr>
      </w:pPr>
    </w:p>
    <w:p w:rsidR="00BB6A2B" w:rsidRDefault="00BB6A2B" w:rsidP="00BB6A2B">
      <w:pPr>
        <w:spacing w:before="240" w:after="240" w:line="360" w:lineRule="auto"/>
        <w:jc w:val="both"/>
        <w:rPr>
          <w:rFonts w:ascii="Arial" w:hAnsi="Arial" w:cs="Arial"/>
          <w:b/>
        </w:rPr>
      </w:pPr>
    </w:p>
    <w:p w:rsidR="00BB6A2B" w:rsidRDefault="00BB6A2B" w:rsidP="00BB6A2B">
      <w:pPr>
        <w:spacing w:before="240" w:after="240" w:line="360" w:lineRule="auto"/>
        <w:jc w:val="both"/>
        <w:rPr>
          <w:rFonts w:ascii="Arial" w:hAnsi="Arial" w:cs="Arial"/>
          <w:b/>
        </w:rPr>
      </w:pPr>
    </w:p>
    <w:p w:rsidR="00BB6A2B" w:rsidRDefault="00BB6A2B" w:rsidP="00BB6A2B">
      <w:pPr>
        <w:spacing w:before="240" w:after="240" w:line="360" w:lineRule="auto"/>
        <w:jc w:val="both"/>
        <w:rPr>
          <w:rFonts w:ascii="Arial" w:hAnsi="Arial" w:cs="Arial"/>
          <w:b/>
        </w:rPr>
      </w:pPr>
    </w:p>
    <w:p w:rsidR="00BB6A2B" w:rsidRPr="00BB6A2B" w:rsidRDefault="00BB6A2B" w:rsidP="00BB6A2B">
      <w:pPr>
        <w:spacing w:before="240" w:after="240" w:line="360" w:lineRule="auto"/>
        <w:jc w:val="both"/>
        <w:rPr>
          <w:rFonts w:ascii="Arial" w:hAnsi="Arial" w:cs="Arial"/>
          <w:b/>
        </w:rPr>
      </w:pPr>
      <w:r w:rsidRPr="00BB6A2B">
        <w:rPr>
          <w:rFonts w:ascii="Arial" w:hAnsi="Arial" w:cs="Arial"/>
          <w:b/>
        </w:rPr>
        <w:lastRenderedPageBreak/>
        <w:t>REPLY:</w:t>
      </w:r>
    </w:p>
    <w:p w:rsidR="00BB6A2B" w:rsidRPr="00BB6A2B" w:rsidRDefault="00BB6A2B" w:rsidP="00221B45">
      <w:pPr>
        <w:tabs>
          <w:tab w:val="left" w:pos="360"/>
        </w:tabs>
        <w:spacing w:line="360" w:lineRule="auto"/>
        <w:ind w:left="810" w:hanging="810"/>
        <w:jc w:val="both"/>
        <w:rPr>
          <w:rFonts w:ascii="Arial" w:eastAsia="Times New Roman" w:hAnsi="Arial" w:cs="Arial"/>
          <w:color w:val="000000"/>
          <w:lang w:val="en-ZA" w:eastAsia="en-ZA"/>
        </w:rPr>
      </w:pPr>
      <w:r w:rsidRPr="00BB6A2B">
        <w:rPr>
          <w:rFonts w:ascii="Arial" w:eastAsia="Times New Roman" w:hAnsi="Arial" w:cs="Arial"/>
          <w:color w:val="000000"/>
          <w:lang w:val="en-ZA" w:eastAsia="en-ZA"/>
        </w:rPr>
        <w:t>(a)    </w:t>
      </w:r>
      <w:r w:rsidRPr="00BB6A2B">
        <w:rPr>
          <w:rFonts w:ascii="Arial" w:eastAsia="Times New Roman" w:hAnsi="Arial" w:cs="Arial"/>
          <w:color w:val="000000"/>
          <w:lang w:val="en-ZA" w:eastAsia="en-ZA"/>
        </w:rPr>
        <w:tab/>
        <w:t>Based on the Services SETA records, the stipend for the month of November 2019 was paid to all learners whose attendance could be confirmed through attendance registers. Ten out of the forty learners were not paid due to non-attendance.</w:t>
      </w:r>
    </w:p>
    <w:p w:rsidR="00BB6A2B" w:rsidRPr="00BB6A2B" w:rsidRDefault="00BB6A2B" w:rsidP="00BB6A2B">
      <w:pPr>
        <w:tabs>
          <w:tab w:val="left" w:pos="360"/>
        </w:tabs>
        <w:spacing w:after="0" w:line="360" w:lineRule="auto"/>
        <w:ind w:left="810" w:hanging="810"/>
        <w:jc w:val="both"/>
        <w:rPr>
          <w:rFonts w:ascii="Arial" w:eastAsia="Times New Roman" w:hAnsi="Arial" w:cs="Arial"/>
          <w:color w:val="000000"/>
          <w:lang w:val="en-ZA" w:eastAsia="en-ZA"/>
        </w:rPr>
      </w:pPr>
      <w:r w:rsidRPr="00BB6A2B">
        <w:rPr>
          <w:rFonts w:ascii="Arial" w:eastAsia="Times New Roman" w:hAnsi="Arial" w:cs="Arial"/>
          <w:color w:val="000000"/>
          <w:lang w:val="en-ZA" w:eastAsia="en-ZA"/>
        </w:rPr>
        <w:t xml:space="preserve">(b)    </w:t>
      </w:r>
      <w:r w:rsidRPr="00BB6A2B">
        <w:rPr>
          <w:rFonts w:ascii="Arial" w:eastAsia="Times New Roman" w:hAnsi="Arial" w:cs="Arial"/>
          <w:color w:val="000000"/>
          <w:lang w:val="en-ZA" w:eastAsia="en-ZA"/>
        </w:rPr>
        <w:tab/>
        <w:t>The names of ten learners who were not paid stipends for November 2019 and December 2019 due to non-attendance are:</w:t>
      </w:r>
    </w:p>
    <w:p w:rsidR="00BB6A2B" w:rsidRPr="00BB6A2B" w:rsidRDefault="00BB6A2B" w:rsidP="00BB6A2B">
      <w:pPr>
        <w:tabs>
          <w:tab w:val="left" w:pos="360"/>
        </w:tabs>
        <w:spacing w:after="0" w:line="360" w:lineRule="auto"/>
        <w:ind w:left="1170" w:hanging="270"/>
        <w:jc w:val="both"/>
        <w:rPr>
          <w:rFonts w:ascii="Arial" w:eastAsia="Times New Roman" w:hAnsi="Arial" w:cs="Arial"/>
          <w:color w:val="000000"/>
          <w:lang w:val="en-ZA" w:eastAsia="en-ZA"/>
        </w:rPr>
      </w:pPr>
      <w:r w:rsidRPr="00BB6A2B">
        <w:rPr>
          <w:rFonts w:ascii="Arial" w:eastAsia="Times New Roman" w:hAnsi="Arial" w:cs="Arial"/>
          <w:color w:val="000000"/>
          <w:lang w:val="en-ZA" w:eastAsia="en-ZA"/>
        </w:rPr>
        <w:t xml:space="preserve">- </w:t>
      </w:r>
      <w:r w:rsidRPr="00BB6A2B">
        <w:rPr>
          <w:rFonts w:ascii="Arial" w:eastAsia="Times New Roman" w:hAnsi="Arial" w:cs="Arial"/>
          <w:color w:val="000000"/>
          <w:lang w:val="en-ZA" w:eastAsia="en-ZA"/>
        </w:rPr>
        <w:tab/>
        <w:t>Jonathan </w:t>
      </w:r>
      <w:proofErr w:type="spellStart"/>
      <w:r w:rsidRPr="00BB6A2B">
        <w:rPr>
          <w:rFonts w:ascii="Arial" w:eastAsia="Times New Roman" w:hAnsi="Arial" w:cs="Arial"/>
          <w:color w:val="000000"/>
          <w:lang w:val="en-ZA" w:eastAsia="en-ZA"/>
        </w:rPr>
        <w:t>Mahosi</w:t>
      </w:r>
      <w:proofErr w:type="spellEnd"/>
    </w:p>
    <w:p w:rsidR="00BB6A2B" w:rsidRPr="00BB6A2B" w:rsidRDefault="00BB6A2B" w:rsidP="00BB6A2B">
      <w:pPr>
        <w:tabs>
          <w:tab w:val="left" w:pos="360"/>
        </w:tabs>
        <w:spacing w:after="0" w:line="360" w:lineRule="auto"/>
        <w:ind w:left="1170" w:hanging="270"/>
        <w:jc w:val="both"/>
        <w:rPr>
          <w:rFonts w:ascii="Arial" w:eastAsia="Times New Roman" w:hAnsi="Arial" w:cs="Arial"/>
          <w:color w:val="000000"/>
          <w:lang w:val="en-ZA" w:eastAsia="en-ZA"/>
        </w:rPr>
      </w:pPr>
      <w:r w:rsidRPr="00BB6A2B">
        <w:rPr>
          <w:rFonts w:ascii="Arial" w:eastAsia="Times New Roman" w:hAnsi="Arial" w:cs="Arial"/>
          <w:color w:val="000000"/>
          <w:lang w:val="en-ZA" w:eastAsia="en-ZA"/>
        </w:rPr>
        <w:t xml:space="preserve">- </w:t>
      </w:r>
      <w:r w:rsidRPr="00BB6A2B">
        <w:rPr>
          <w:rFonts w:ascii="Arial" w:eastAsia="Times New Roman" w:hAnsi="Arial" w:cs="Arial"/>
          <w:color w:val="000000"/>
          <w:lang w:val="en-ZA" w:eastAsia="en-ZA"/>
        </w:rPr>
        <w:tab/>
      </w:r>
      <w:proofErr w:type="spellStart"/>
      <w:r w:rsidRPr="00BB6A2B">
        <w:rPr>
          <w:rFonts w:ascii="Arial" w:eastAsia="Times New Roman" w:hAnsi="Arial" w:cs="Arial"/>
          <w:color w:val="000000"/>
          <w:lang w:val="en-ZA" w:eastAsia="en-ZA"/>
        </w:rPr>
        <w:t>Winstar</w:t>
      </w:r>
      <w:proofErr w:type="spellEnd"/>
      <w:r w:rsidRPr="00BB6A2B">
        <w:rPr>
          <w:rFonts w:ascii="Arial" w:eastAsia="Times New Roman" w:hAnsi="Arial" w:cs="Arial"/>
          <w:color w:val="000000"/>
          <w:lang w:val="en-ZA" w:eastAsia="en-ZA"/>
        </w:rPr>
        <w:t> </w:t>
      </w:r>
      <w:proofErr w:type="spellStart"/>
      <w:r w:rsidRPr="00BB6A2B">
        <w:rPr>
          <w:rFonts w:ascii="Arial" w:eastAsia="Times New Roman" w:hAnsi="Arial" w:cs="Arial"/>
          <w:color w:val="000000"/>
          <w:lang w:val="en-ZA" w:eastAsia="en-ZA"/>
        </w:rPr>
        <w:t>Mdlalose</w:t>
      </w:r>
      <w:proofErr w:type="spellEnd"/>
    </w:p>
    <w:p w:rsidR="00BB6A2B" w:rsidRPr="00BB6A2B" w:rsidRDefault="00BB6A2B" w:rsidP="00BB6A2B">
      <w:pPr>
        <w:tabs>
          <w:tab w:val="left" w:pos="360"/>
        </w:tabs>
        <w:spacing w:after="0" w:line="360" w:lineRule="auto"/>
        <w:ind w:left="1170" w:hanging="270"/>
        <w:jc w:val="both"/>
        <w:rPr>
          <w:rFonts w:ascii="Arial" w:eastAsia="Times New Roman" w:hAnsi="Arial" w:cs="Arial"/>
          <w:color w:val="000000"/>
          <w:lang w:val="en-ZA" w:eastAsia="en-ZA"/>
        </w:rPr>
      </w:pPr>
      <w:r w:rsidRPr="00BB6A2B">
        <w:rPr>
          <w:rFonts w:ascii="Arial" w:eastAsia="Times New Roman" w:hAnsi="Arial" w:cs="Arial"/>
          <w:color w:val="000000"/>
          <w:lang w:val="en-ZA" w:eastAsia="en-ZA"/>
        </w:rPr>
        <w:t xml:space="preserve">- </w:t>
      </w:r>
      <w:r w:rsidRPr="00BB6A2B">
        <w:rPr>
          <w:rFonts w:ascii="Arial" w:eastAsia="Times New Roman" w:hAnsi="Arial" w:cs="Arial"/>
          <w:color w:val="000000"/>
          <w:lang w:val="en-ZA" w:eastAsia="en-ZA"/>
        </w:rPr>
        <w:tab/>
      </w:r>
      <w:proofErr w:type="spellStart"/>
      <w:r w:rsidRPr="00BB6A2B">
        <w:rPr>
          <w:rFonts w:ascii="Arial" w:eastAsia="Times New Roman" w:hAnsi="Arial" w:cs="Arial"/>
          <w:color w:val="000000"/>
          <w:lang w:val="en-ZA" w:eastAsia="en-ZA"/>
        </w:rPr>
        <w:t>Zanele</w:t>
      </w:r>
      <w:proofErr w:type="spellEnd"/>
      <w:r w:rsidRPr="00BB6A2B">
        <w:rPr>
          <w:rFonts w:ascii="Arial" w:eastAsia="Times New Roman" w:hAnsi="Arial" w:cs="Arial"/>
          <w:color w:val="000000"/>
          <w:lang w:val="en-ZA" w:eastAsia="en-ZA"/>
        </w:rPr>
        <w:t> </w:t>
      </w:r>
      <w:proofErr w:type="spellStart"/>
      <w:r w:rsidRPr="00BB6A2B">
        <w:rPr>
          <w:rFonts w:ascii="Arial" w:eastAsia="Times New Roman" w:hAnsi="Arial" w:cs="Arial"/>
          <w:color w:val="000000"/>
          <w:lang w:val="en-ZA" w:eastAsia="en-ZA"/>
        </w:rPr>
        <w:t>Kubheka</w:t>
      </w:r>
      <w:proofErr w:type="spellEnd"/>
    </w:p>
    <w:p w:rsidR="00BB6A2B" w:rsidRPr="00BB6A2B" w:rsidRDefault="00BB6A2B" w:rsidP="00BB6A2B">
      <w:pPr>
        <w:tabs>
          <w:tab w:val="left" w:pos="360"/>
        </w:tabs>
        <w:spacing w:after="0" w:line="360" w:lineRule="auto"/>
        <w:ind w:left="1170" w:hanging="270"/>
        <w:jc w:val="both"/>
        <w:rPr>
          <w:rFonts w:ascii="Arial" w:eastAsia="Times New Roman" w:hAnsi="Arial" w:cs="Arial"/>
          <w:color w:val="000000"/>
          <w:lang w:val="en-ZA" w:eastAsia="en-ZA"/>
        </w:rPr>
      </w:pPr>
      <w:r w:rsidRPr="00BB6A2B">
        <w:rPr>
          <w:rFonts w:ascii="Arial" w:eastAsia="Times New Roman" w:hAnsi="Arial" w:cs="Arial"/>
          <w:color w:val="000000"/>
          <w:lang w:val="en-ZA" w:eastAsia="en-ZA"/>
        </w:rPr>
        <w:t xml:space="preserve">- </w:t>
      </w:r>
      <w:r w:rsidRPr="00BB6A2B">
        <w:rPr>
          <w:rFonts w:ascii="Arial" w:eastAsia="Times New Roman" w:hAnsi="Arial" w:cs="Arial"/>
          <w:color w:val="000000"/>
          <w:lang w:val="en-ZA" w:eastAsia="en-ZA"/>
        </w:rPr>
        <w:tab/>
      </w:r>
      <w:proofErr w:type="spellStart"/>
      <w:r w:rsidRPr="00BB6A2B">
        <w:rPr>
          <w:rFonts w:ascii="Arial" w:eastAsia="Times New Roman" w:hAnsi="Arial" w:cs="Arial"/>
          <w:color w:val="000000"/>
          <w:lang w:val="en-ZA" w:eastAsia="en-ZA"/>
        </w:rPr>
        <w:t>Millecent</w:t>
      </w:r>
      <w:proofErr w:type="spellEnd"/>
      <w:r w:rsidRPr="00BB6A2B">
        <w:rPr>
          <w:rFonts w:ascii="Arial" w:eastAsia="Times New Roman" w:hAnsi="Arial" w:cs="Arial"/>
          <w:color w:val="000000"/>
          <w:lang w:val="en-ZA" w:eastAsia="en-ZA"/>
        </w:rPr>
        <w:t> </w:t>
      </w:r>
      <w:proofErr w:type="spellStart"/>
      <w:r w:rsidRPr="00BB6A2B">
        <w:rPr>
          <w:rFonts w:ascii="Arial" w:eastAsia="Times New Roman" w:hAnsi="Arial" w:cs="Arial"/>
          <w:color w:val="000000"/>
          <w:lang w:val="en-ZA" w:eastAsia="en-ZA"/>
        </w:rPr>
        <w:t>Tsotetsi</w:t>
      </w:r>
      <w:proofErr w:type="spellEnd"/>
    </w:p>
    <w:p w:rsidR="00BB6A2B" w:rsidRPr="00BB6A2B" w:rsidRDefault="00BB6A2B" w:rsidP="00BB6A2B">
      <w:pPr>
        <w:tabs>
          <w:tab w:val="left" w:pos="360"/>
        </w:tabs>
        <w:spacing w:after="0" w:line="360" w:lineRule="auto"/>
        <w:ind w:left="1170" w:hanging="270"/>
        <w:jc w:val="both"/>
        <w:rPr>
          <w:rFonts w:ascii="Arial" w:eastAsia="Times New Roman" w:hAnsi="Arial" w:cs="Arial"/>
          <w:color w:val="000000"/>
          <w:lang w:val="en-ZA" w:eastAsia="en-ZA"/>
        </w:rPr>
      </w:pPr>
      <w:r w:rsidRPr="00BB6A2B">
        <w:rPr>
          <w:rFonts w:ascii="Arial" w:eastAsia="Times New Roman" w:hAnsi="Arial" w:cs="Arial"/>
          <w:color w:val="000000"/>
          <w:lang w:val="en-ZA" w:eastAsia="en-ZA"/>
        </w:rPr>
        <w:t xml:space="preserve">- </w:t>
      </w:r>
      <w:r w:rsidRPr="00BB6A2B">
        <w:rPr>
          <w:rFonts w:ascii="Arial" w:eastAsia="Times New Roman" w:hAnsi="Arial" w:cs="Arial"/>
          <w:color w:val="000000"/>
          <w:lang w:val="en-ZA" w:eastAsia="en-ZA"/>
        </w:rPr>
        <w:tab/>
        <w:t>Veronica Maseko</w:t>
      </w:r>
    </w:p>
    <w:p w:rsidR="00BB6A2B" w:rsidRPr="00BB6A2B" w:rsidRDefault="00BB6A2B" w:rsidP="00BB6A2B">
      <w:pPr>
        <w:tabs>
          <w:tab w:val="left" w:pos="360"/>
        </w:tabs>
        <w:spacing w:after="0" w:line="360" w:lineRule="auto"/>
        <w:ind w:left="1170" w:hanging="270"/>
        <w:jc w:val="both"/>
        <w:rPr>
          <w:rFonts w:ascii="Arial" w:eastAsia="Times New Roman" w:hAnsi="Arial" w:cs="Arial"/>
          <w:color w:val="000000"/>
          <w:lang w:val="en-ZA" w:eastAsia="en-ZA"/>
        </w:rPr>
      </w:pPr>
      <w:r w:rsidRPr="00BB6A2B">
        <w:rPr>
          <w:rFonts w:ascii="Arial" w:eastAsia="Times New Roman" w:hAnsi="Arial" w:cs="Arial"/>
          <w:color w:val="000000"/>
          <w:lang w:val="en-ZA" w:eastAsia="en-ZA"/>
        </w:rPr>
        <w:t xml:space="preserve">- </w:t>
      </w:r>
      <w:r w:rsidRPr="00BB6A2B">
        <w:rPr>
          <w:rFonts w:ascii="Arial" w:eastAsia="Times New Roman" w:hAnsi="Arial" w:cs="Arial"/>
          <w:color w:val="000000"/>
          <w:lang w:val="en-ZA" w:eastAsia="en-ZA"/>
        </w:rPr>
        <w:tab/>
      </w:r>
      <w:proofErr w:type="spellStart"/>
      <w:r w:rsidRPr="00BB6A2B">
        <w:rPr>
          <w:rFonts w:ascii="Arial" w:eastAsia="Times New Roman" w:hAnsi="Arial" w:cs="Arial"/>
          <w:color w:val="000000"/>
          <w:lang w:val="en-ZA" w:eastAsia="en-ZA"/>
        </w:rPr>
        <w:t>Nokuthula</w:t>
      </w:r>
      <w:proofErr w:type="spellEnd"/>
      <w:r w:rsidRPr="00BB6A2B">
        <w:rPr>
          <w:rFonts w:ascii="Arial" w:eastAsia="Times New Roman" w:hAnsi="Arial" w:cs="Arial"/>
          <w:color w:val="000000"/>
          <w:lang w:val="en-ZA" w:eastAsia="en-ZA"/>
        </w:rPr>
        <w:t> Muriel </w:t>
      </w:r>
      <w:proofErr w:type="spellStart"/>
      <w:r w:rsidRPr="00BB6A2B">
        <w:rPr>
          <w:rFonts w:ascii="Arial" w:eastAsia="Times New Roman" w:hAnsi="Arial" w:cs="Arial"/>
          <w:color w:val="000000"/>
          <w:lang w:val="en-ZA" w:eastAsia="en-ZA"/>
        </w:rPr>
        <w:t>Ndaba</w:t>
      </w:r>
      <w:proofErr w:type="spellEnd"/>
    </w:p>
    <w:p w:rsidR="00BB6A2B" w:rsidRPr="00BB6A2B" w:rsidRDefault="00BB6A2B" w:rsidP="00BB6A2B">
      <w:pPr>
        <w:tabs>
          <w:tab w:val="left" w:pos="360"/>
        </w:tabs>
        <w:spacing w:after="0" w:line="360" w:lineRule="auto"/>
        <w:ind w:left="1170" w:hanging="270"/>
        <w:jc w:val="both"/>
        <w:rPr>
          <w:rFonts w:ascii="Arial" w:eastAsia="Times New Roman" w:hAnsi="Arial" w:cs="Arial"/>
          <w:color w:val="000000"/>
          <w:lang w:val="en-ZA" w:eastAsia="en-ZA"/>
        </w:rPr>
      </w:pPr>
      <w:r w:rsidRPr="00BB6A2B">
        <w:rPr>
          <w:rFonts w:ascii="Arial" w:eastAsia="Times New Roman" w:hAnsi="Arial" w:cs="Arial"/>
          <w:color w:val="000000"/>
          <w:lang w:val="en-ZA" w:eastAsia="en-ZA"/>
        </w:rPr>
        <w:t xml:space="preserve">- </w:t>
      </w:r>
      <w:r w:rsidRPr="00BB6A2B">
        <w:rPr>
          <w:rFonts w:ascii="Arial" w:eastAsia="Times New Roman" w:hAnsi="Arial" w:cs="Arial"/>
          <w:color w:val="000000"/>
          <w:lang w:val="en-ZA" w:eastAsia="en-ZA"/>
        </w:rPr>
        <w:tab/>
        <w:t>Prisca Kunene</w:t>
      </w:r>
    </w:p>
    <w:p w:rsidR="00BB6A2B" w:rsidRPr="00BB6A2B" w:rsidRDefault="00BB6A2B" w:rsidP="00BB6A2B">
      <w:pPr>
        <w:tabs>
          <w:tab w:val="left" w:pos="360"/>
        </w:tabs>
        <w:spacing w:after="0" w:line="360" w:lineRule="auto"/>
        <w:ind w:left="1170" w:hanging="270"/>
        <w:jc w:val="both"/>
        <w:rPr>
          <w:rFonts w:ascii="Arial" w:eastAsia="Times New Roman" w:hAnsi="Arial" w:cs="Arial"/>
          <w:color w:val="000000"/>
          <w:lang w:val="en-ZA" w:eastAsia="en-ZA"/>
        </w:rPr>
      </w:pPr>
      <w:r w:rsidRPr="00BB6A2B">
        <w:rPr>
          <w:rFonts w:ascii="Arial" w:eastAsia="Times New Roman" w:hAnsi="Arial" w:cs="Arial"/>
          <w:color w:val="000000"/>
          <w:lang w:val="en-ZA" w:eastAsia="en-ZA"/>
        </w:rPr>
        <w:t xml:space="preserve">- </w:t>
      </w:r>
      <w:r w:rsidRPr="00BB6A2B">
        <w:rPr>
          <w:rFonts w:ascii="Arial" w:eastAsia="Times New Roman" w:hAnsi="Arial" w:cs="Arial"/>
          <w:color w:val="000000"/>
          <w:lang w:val="en-ZA" w:eastAsia="en-ZA"/>
        </w:rPr>
        <w:tab/>
      </w:r>
      <w:proofErr w:type="spellStart"/>
      <w:r w:rsidRPr="00BB6A2B">
        <w:rPr>
          <w:rFonts w:ascii="Arial" w:eastAsia="Times New Roman" w:hAnsi="Arial" w:cs="Arial"/>
          <w:color w:val="000000"/>
          <w:lang w:val="en-ZA" w:eastAsia="en-ZA"/>
        </w:rPr>
        <w:t>Nomthandazo</w:t>
      </w:r>
      <w:proofErr w:type="spellEnd"/>
      <w:r w:rsidRPr="00BB6A2B">
        <w:rPr>
          <w:rFonts w:ascii="Arial" w:eastAsia="Times New Roman" w:hAnsi="Arial" w:cs="Arial"/>
          <w:color w:val="000000"/>
          <w:lang w:val="en-ZA" w:eastAsia="en-ZA"/>
        </w:rPr>
        <w:t> </w:t>
      </w:r>
      <w:proofErr w:type="spellStart"/>
      <w:r w:rsidRPr="00BB6A2B">
        <w:rPr>
          <w:rFonts w:ascii="Arial" w:eastAsia="Times New Roman" w:hAnsi="Arial" w:cs="Arial"/>
          <w:color w:val="000000"/>
          <w:lang w:val="en-ZA" w:eastAsia="en-ZA"/>
        </w:rPr>
        <w:t>Mazibuko</w:t>
      </w:r>
      <w:proofErr w:type="spellEnd"/>
    </w:p>
    <w:p w:rsidR="00BB6A2B" w:rsidRPr="00BB6A2B" w:rsidRDefault="00BB6A2B" w:rsidP="00BB6A2B">
      <w:pPr>
        <w:tabs>
          <w:tab w:val="left" w:pos="360"/>
        </w:tabs>
        <w:spacing w:after="0" w:line="360" w:lineRule="auto"/>
        <w:ind w:left="1170" w:hanging="270"/>
        <w:jc w:val="both"/>
        <w:rPr>
          <w:rFonts w:ascii="Arial" w:eastAsia="Times New Roman" w:hAnsi="Arial" w:cs="Arial"/>
          <w:color w:val="000000"/>
          <w:lang w:val="en-ZA" w:eastAsia="en-ZA"/>
        </w:rPr>
      </w:pPr>
      <w:r w:rsidRPr="00BB6A2B">
        <w:rPr>
          <w:rFonts w:ascii="Arial" w:eastAsia="Times New Roman" w:hAnsi="Arial" w:cs="Arial"/>
          <w:color w:val="000000"/>
          <w:lang w:val="en-ZA" w:eastAsia="en-ZA"/>
        </w:rPr>
        <w:t xml:space="preserve">- </w:t>
      </w:r>
      <w:r w:rsidRPr="00BB6A2B">
        <w:rPr>
          <w:rFonts w:ascii="Arial" w:eastAsia="Times New Roman" w:hAnsi="Arial" w:cs="Arial"/>
          <w:color w:val="000000"/>
          <w:lang w:val="en-ZA" w:eastAsia="en-ZA"/>
        </w:rPr>
        <w:tab/>
      </w:r>
      <w:proofErr w:type="spellStart"/>
      <w:r w:rsidRPr="00BB6A2B">
        <w:rPr>
          <w:rFonts w:ascii="Arial" w:eastAsia="Times New Roman" w:hAnsi="Arial" w:cs="Arial"/>
          <w:color w:val="000000"/>
          <w:lang w:val="en-ZA" w:eastAsia="en-ZA"/>
        </w:rPr>
        <w:t>Germina</w:t>
      </w:r>
      <w:proofErr w:type="spellEnd"/>
      <w:r w:rsidRPr="00BB6A2B">
        <w:rPr>
          <w:rFonts w:ascii="Arial" w:eastAsia="Times New Roman" w:hAnsi="Arial" w:cs="Arial"/>
          <w:color w:val="000000"/>
          <w:lang w:val="en-ZA" w:eastAsia="en-ZA"/>
        </w:rPr>
        <w:t> </w:t>
      </w:r>
      <w:proofErr w:type="spellStart"/>
      <w:r w:rsidRPr="00BB6A2B">
        <w:rPr>
          <w:rFonts w:ascii="Arial" w:eastAsia="Times New Roman" w:hAnsi="Arial" w:cs="Arial"/>
          <w:color w:val="000000"/>
          <w:lang w:val="en-ZA" w:eastAsia="en-ZA"/>
        </w:rPr>
        <w:t>Letsoalo</w:t>
      </w:r>
      <w:proofErr w:type="spellEnd"/>
    </w:p>
    <w:p w:rsidR="00BB6A2B" w:rsidRPr="00BB6A2B" w:rsidRDefault="00BB6A2B" w:rsidP="00BB6A2B">
      <w:pPr>
        <w:tabs>
          <w:tab w:val="left" w:pos="360"/>
        </w:tabs>
        <w:spacing w:line="360" w:lineRule="auto"/>
        <w:ind w:left="1170" w:hanging="270"/>
        <w:jc w:val="both"/>
        <w:rPr>
          <w:rFonts w:ascii="Arial" w:eastAsia="Times New Roman" w:hAnsi="Arial" w:cs="Arial"/>
          <w:color w:val="000000"/>
          <w:lang w:val="en-ZA" w:eastAsia="en-ZA"/>
        </w:rPr>
      </w:pPr>
      <w:r w:rsidRPr="00BB6A2B">
        <w:rPr>
          <w:rFonts w:ascii="Arial" w:eastAsia="Times New Roman" w:hAnsi="Arial" w:cs="Arial"/>
          <w:color w:val="000000"/>
          <w:lang w:val="en-ZA" w:eastAsia="en-ZA"/>
        </w:rPr>
        <w:t xml:space="preserve">- </w:t>
      </w:r>
      <w:r w:rsidRPr="00BB6A2B">
        <w:rPr>
          <w:rFonts w:ascii="Arial" w:eastAsia="Times New Roman" w:hAnsi="Arial" w:cs="Arial"/>
          <w:color w:val="000000"/>
          <w:lang w:val="en-ZA" w:eastAsia="en-ZA"/>
        </w:rPr>
        <w:tab/>
      </w:r>
      <w:proofErr w:type="spellStart"/>
      <w:r w:rsidRPr="00BB6A2B">
        <w:rPr>
          <w:rFonts w:ascii="Arial" w:eastAsia="Times New Roman" w:hAnsi="Arial" w:cs="Arial"/>
          <w:color w:val="000000"/>
          <w:lang w:val="en-ZA" w:eastAsia="en-ZA"/>
        </w:rPr>
        <w:t>Kwanda</w:t>
      </w:r>
      <w:proofErr w:type="spellEnd"/>
      <w:r w:rsidRPr="00BB6A2B">
        <w:rPr>
          <w:rFonts w:ascii="Arial" w:eastAsia="Times New Roman" w:hAnsi="Arial" w:cs="Arial"/>
          <w:color w:val="000000"/>
          <w:lang w:val="en-ZA" w:eastAsia="en-ZA"/>
        </w:rPr>
        <w:t> Ndebele</w:t>
      </w:r>
    </w:p>
    <w:p w:rsidR="00BB6A2B" w:rsidRPr="00BB6A2B" w:rsidRDefault="00BB6A2B" w:rsidP="00BB6A2B">
      <w:pPr>
        <w:tabs>
          <w:tab w:val="left" w:pos="360"/>
        </w:tabs>
        <w:spacing w:line="360" w:lineRule="auto"/>
        <w:ind w:left="810" w:hanging="810"/>
        <w:jc w:val="both"/>
        <w:rPr>
          <w:rFonts w:ascii="Arial" w:eastAsia="Times New Roman" w:hAnsi="Arial" w:cs="Arial"/>
          <w:color w:val="000000"/>
          <w:lang w:val="en-ZA" w:eastAsia="en-ZA"/>
        </w:rPr>
      </w:pPr>
      <w:r w:rsidRPr="00BB6A2B">
        <w:rPr>
          <w:rFonts w:ascii="Arial" w:eastAsia="Times New Roman" w:hAnsi="Arial" w:cs="Arial"/>
          <w:color w:val="000000"/>
          <w:lang w:val="en-ZA" w:eastAsia="en-ZA"/>
        </w:rPr>
        <w:t>(c)    </w:t>
      </w:r>
      <w:r w:rsidRPr="00BB6A2B">
        <w:rPr>
          <w:rFonts w:ascii="Arial" w:eastAsia="Times New Roman" w:hAnsi="Arial" w:cs="Arial"/>
          <w:color w:val="000000"/>
          <w:lang w:val="en-ZA" w:eastAsia="en-ZA"/>
        </w:rPr>
        <w:tab/>
        <w:t>The enforcement mechanism that is utilised to ensure that payments are effected where owing is through a Training Agreement signed between the SETA and the training provider stipulating the conditions for the payment, which include amongst others, a confirmation report that training has occurred and proof of attendance of learners.</w:t>
      </w:r>
    </w:p>
    <w:p w:rsidR="00BB6A2B" w:rsidRPr="00BB6A2B" w:rsidRDefault="00BB6A2B" w:rsidP="00BB6A2B">
      <w:pPr>
        <w:tabs>
          <w:tab w:val="left" w:pos="360"/>
        </w:tabs>
        <w:spacing w:line="360" w:lineRule="auto"/>
        <w:ind w:left="810" w:hanging="810"/>
        <w:jc w:val="both"/>
        <w:rPr>
          <w:rFonts w:ascii="Arial" w:eastAsia="Times New Roman" w:hAnsi="Arial" w:cs="Arial"/>
          <w:color w:val="000000"/>
          <w:lang w:val="en-ZA" w:eastAsia="en-ZA"/>
        </w:rPr>
      </w:pPr>
      <w:r w:rsidRPr="00BB6A2B">
        <w:rPr>
          <w:rFonts w:ascii="Arial" w:eastAsia="Times New Roman" w:hAnsi="Arial" w:cs="Arial"/>
          <w:color w:val="000000"/>
          <w:lang w:val="en-ZA" w:eastAsia="en-ZA"/>
        </w:rPr>
        <w:tab/>
      </w:r>
      <w:r w:rsidRPr="00BB6A2B">
        <w:rPr>
          <w:rFonts w:ascii="Arial" w:eastAsia="Times New Roman" w:hAnsi="Arial" w:cs="Arial"/>
          <w:color w:val="000000"/>
          <w:lang w:val="en-ZA" w:eastAsia="en-ZA"/>
        </w:rPr>
        <w:tab/>
        <w:t xml:space="preserve">On receipt of the report from the training provider, the SETA verifies the information in accordance with the Training Agreement and allows the training provider to confirm the correctness of information and if some gaps are identified, the training provider is allowed to correct information in order to </w:t>
      </w:r>
      <w:r w:rsidR="00221B45">
        <w:rPr>
          <w:rFonts w:ascii="Arial" w:eastAsia="Times New Roman" w:hAnsi="Arial" w:cs="Arial"/>
          <w:color w:val="000000"/>
          <w:lang w:val="en-ZA" w:eastAsia="en-ZA"/>
        </w:rPr>
        <w:t>e</w:t>
      </w:r>
      <w:r w:rsidR="00221B45" w:rsidRPr="00BB6A2B">
        <w:rPr>
          <w:rFonts w:ascii="Arial" w:eastAsia="Times New Roman" w:hAnsi="Arial" w:cs="Arial"/>
          <w:color w:val="000000"/>
          <w:lang w:val="en-ZA" w:eastAsia="en-ZA"/>
        </w:rPr>
        <w:t>ffect</w:t>
      </w:r>
      <w:r w:rsidRPr="00BB6A2B">
        <w:rPr>
          <w:rFonts w:ascii="Arial" w:eastAsia="Times New Roman" w:hAnsi="Arial" w:cs="Arial"/>
          <w:color w:val="000000"/>
          <w:lang w:val="en-ZA" w:eastAsia="en-ZA"/>
        </w:rPr>
        <w:t xml:space="preserve"> the payment.</w:t>
      </w:r>
    </w:p>
    <w:p w:rsidR="00BB6A2B" w:rsidRPr="00BB6A2B" w:rsidRDefault="00BB6A2B" w:rsidP="00BB6A2B">
      <w:pPr>
        <w:tabs>
          <w:tab w:val="left" w:pos="360"/>
        </w:tabs>
        <w:spacing w:line="360" w:lineRule="auto"/>
        <w:ind w:left="810" w:hanging="810"/>
        <w:jc w:val="both"/>
        <w:rPr>
          <w:rFonts w:ascii="Arial" w:eastAsia="Times New Roman" w:hAnsi="Arial" w:cs="Arial"/>
          <w:color w:val="000000"/>
          <w:lang w:val="en-ZA" w:eastAsia="en-ZA"/>
        </w:rPr>
      </w:pPr>
      <w:r w:rsidRPr="00BB6A2B">
        <w:rPr>
          <w:rFonts w:ascii="Arial" w:eastAsia="Times New Roman" w:hAnsi="Arial" w:cs="Arial"/>
          <w:color w:val="000000"/>
          <w:lang w:val="en-ZA" w:eastAsia="en-ZA"/>
        </w:rPr>
        <w:t>(d)    </w:t>
      </w:r>
      <w:r w:rsidRPr="00BB6A2B">
        <w:rPr>
          <w:rFonts w:ascii="Arial" w:eastAsia="Times New Roman" w:hAnsi="Arial" w:cs="Arial"/>
          <w:color w:val="000000"/>
          <w:lang w:val="en-ZA" w:eastAsia="en-ZA"/>
        </w:rPr>
        <w:tab/>
        <w:t>The timeframes stipulated between:</w:t>
      </w:r>
    </w:p>
    <w:p w:rsidR="00BB6A2B" w:rsidRPr="00BB6A2B" w:rsidRDefault="00BB6A2B" w:rsidP="00BB6A2B">
      <w:pPr>
        <w:tabs>
          <w:tab w:val="left" w:pos="360"/>
        </w:tabs>
        <w:spacing w:line="360" w:lineRule="auto"/>
        <w:ind w:left="810" w:hanging="810"/>
        <w:jc w:val="both"/>
        <w:rPr>
          <w:rFonts w:ascii="Arial" w:eastAsia="Times New Roman" w:hAnsi="Arial" w:cs="Arial"/>
          <w:color w:val="000000"/>
          <w:lang w:val="en-ZA" w:eastAsia="en-ZA"/>
        </w:rPr>
      </w:pPr>
      <w:r w:rsidRPr="00BB6A2B">
        <w:rPr>
          <w:rFonts w:ascii="Arial" w:eastAsia="Times New Roman" w:hAnsi="Arial" w:cs="Arial"/>
          <w:color w:val="000000"/>
          <w:lang w:val="en-ZA" w:eastAsia="en-ZA"/>
        </w:rPr>
        <w:tab/>
        <w:t>(</w:t>
      </w:r>
      <w:proofErr w:type="spellStart"/>
      <w:r w:rsidRPr="00BB6A2B">
        <w:rPr>
          <w:rFonts w:ascii="Arial" w:eastAsia="Times New Roman" w:hAnsi="Arial" w:cs="Arial"/>
          <w:color w:val="000000"/>
          <w:lang w:val="en-ZA" w:eastAsia="en-ZA"/>
        </w:rPr>
        <w:t>i</w:t>
      </w:r>
      <w:proofErr w:type="spellEnd"/>
      <w:r w:rsidRPr="00BB6A2B">
        <w:rPr>
          <w:rFonts w:ascii="Arial" w:eastAsia="Times New Roman" w:hAnsi="Arial" w:cs="Arial"/>
          <w:color w:val="000000"/>
          <w:lang w:val="en-ZA" w:eastAsia="en-ZA"/>
        </w:rPr>
        <w:t>)    </w:t>
      </w:r>
      <w:r w:rsidRPr="00BB6A2B">
        <w:rPr>
          <w:rFonts w:ascii="Arial" w:eastAsia="Times New Roman" w:hAnsi="Arial" w:cs="Arial"/>
          <w:color w:val="000000"/>
          <w:lang w:val="en-ZA" w:eastAsia="en-ZA"/>
        </w:rPr>
        <w:tab/>
      </w:r>
      <w:r w:rsidRPr="00BB6A2B">
        <w:rPr>
          <w:rFonts w:ascii="Arial" w:eastAsia="Times New Roman" w:hAnsi="Arial" w:cs="Arial"/>
          <w:bCs/>
          <w:color w:val="000000"/>
          <w:lang w:val="en-ZA" w:eastAsia="en-ZA"/>
        </w:rPr>
        <w:t>Completion of a level by a learner</w:t>
      </w:r>
      <w:r w:rsidRPr="00BB6A2B">
        <w:rPr>
          <w:rFonts w:ascii="Arial" w:eastAsia="Times New Roman" w:hAnsi="Arial" w:cs="Arial"/>
          <w:color w:val="000000"/>
          <w:lang w:val="en-ZA" w:eastAsia="en-ZA"/>
        </w:rPr>
        <w:t xml:space="preserve"> is in accordance with the learnership agreement signed with the learner. A learner is expected to complete the level within twelve months.</w:t>
      </w:r>
    </w:p>
    <w:p w:rsidR="00BB6A2B" w:rsidRPr="00BB6A2B" w:rsidRDefault="00BB6A2B" w:rsidP="00BB6A2B">
      <w:pPr>
        <w:tabs>
          <w:tab w:val="left" w:pos="360"/>
        </w:tabs>
        <w:spacing w:line="360" w:lineRule="auto"/>
        <w:ind w:left="810" w:hanging="810"/>
        <w:jc w:val="both"/>
        <w:rPr>
          <w:rFonts w:ascii="Arial" w:eastAsia="Times New Roman" w:hAnsi="Arial" w:cs="Arial"/>
          <w:color w:val="000000"/>
          <w:lang w:val="en-ZA" w:eastAsia="en-ZA"/>
        </w:rPr>
      </w:pPr>
      <w:r w:rsidRPr="00BB6A2B">
        <w:rPr>
          <w:rFonts w:ascii="Arial" w:eastAsia="Times New Roman" w:hAnsi="Arial" w:cs="Arial"/>
          <w:color w:val="000000"/>
          <w:lang w:val="en-ZA" w:eastAsia="en-ZA"/>
        </w:rPr>
        <w:t>     </w:t>
      </w:r>
      <w:r w:rsidRPr="00BB6A2B">
        <w:rPr>
          <w:rFonts w:ascii="Arial" w:eastAsia="Times New Roman" w:hAnsi="Arial" w:cs="Arial"/>
          <w:color w:val="000000"/>
          <w:lang w:val="en-ZA" w:eastAsia="en-ZA"/>
        </w:rPr>
        <w:tab/>
        <w:t>(ii)  </w:t>
      </w:r>
      <w:r w:rsidRPr="00BB6A2B">
        <w:rPr>
          <w:rFonts w:ascii="Arial" w:eastAsia="Times New Roman" w:hAnsi="Arial" w:cs="Arial"/>
          <w:color w:val="000000"/>
          <w:lang w:val="en-ZA" w:eastAsia="en-ZA"/>
        </w:rPr>
        <w:tab/>
      </w:r>
      <w:r w:rsidRPr="00BB6A2B">
        <w:rPr>
          <w:rFonts w:ascii="Arial" w:eastAsia="Times New Roman" w:hAnsi="Arial" w:cs="Arial"/>
          <w:bCs/>
          <w:color w:val="000000"/>
          <w:lang w:val="en-ZA" w:eastAsia="en-ZA"/>
        </w:rPr>
        <w:t>Moderation of the work by the provider</w:t>
      </w:r>
      <w:r w:rsidRPr="00BB6A2B">
        <w:rPr>
          <w:rFonts w:ascii="Arial" w:eastAsia="Times New Roman" w:hAnsi="Arial" w:cs="Arial"/>
          <w:color w:val="000000"/>
          <w:lang w:val="en-ZA" w:eastAsia="en-ZA"/>
        </w:rPr>
        <w:t xml:space="preserve"> is determined by the size of the moderation sample involved. Two summative assessment moderations take place, i.e. an internal moderation conducted by the training provider and an external moderation conducted </w:t>
      </w:r>
      <w:r w:rsidRPr="00BB6A2B">
        <w:rPr>
          <w:rFonts w:ascii="Arial" w:eastAsia="Times New Roman" w:hAnsi="Arial" w:cs="Arial"/>
          <w:color w:val="000000"/>
          <w:lang w:val="en-ZA" w:eastAsia="en-ZA"/>
        </w:rPr>
        <w:lastRenderedPageBreak/>
        <w:t>by the SETA. The external moderation by the SETA is triggered by the submission of the summative assessment and internal moderation reports from the training provider. On average, it takes the Services SETA two weeks to conduct an external moderation, depending on the availability of resources.</w:t>
      </w:r>
    </w:p>
    <w:p w:rsidR="00BB6A2B" w:rsidRPr="00BB6A2B" w:rsidRDefault="00BB6A2B" w:rsidP="00BB6A2B">
      <w:pPr>
        <w:tabs>
          <w:tab w:val="left" w:pos="360"/>
        </w:tabs>
        <w:spacing w:line="360" w:lineRule="auto"/>
        <w:ind w:left="810" w:hanging="810"/>
        <w:jc w:val="both"/>
        <w:rPr>
          <w:rFonts w:ascii="Arial" w:eastAsia="Times New Roman" w:hAnsi="Arial" w:cs="Arial"/>
          <w:color w:val="000000"/>
          <w:lang w:val="en-ZA" w:eastAsia="en-ZA"/>
        </w:rPr>
      </w:pPr>
      <w:r w:rsidRPr="00BB6A2B">
        <w:rPr>
          <w:rFonts w:ascii="Arial" w:eastAsia="Times New Roman" w:hAnsi="Arial" w:cs="Arial"/>
          <w:color w:val="000000"/>
          <w:lang w:val="en-ZA" w:eastAsia="en-ZA"/>
        </w:rPr>
        <w:t>     </w:t>
      </w:r>
      <w:r w:rsidRPr="00BB6A2B">
        <w:rPr>
          <w:rFonts w:ascii="Arial" w:eastAsia="Times New Roman" w:hAnsi="Arial" w:cs="Arial"/>
          <w:color w:val="000000"/>
          <w:lang w:val="en-ZA" w:eastAsia="en-ZA"/>
        </w:rPr>
        <w:tab/>
        <w:t xml:space="preserve">(iii) </w:t>
      </w:r>
      <w:r w:rsidRPr="00BB6A2B">
        <w:rPr>
          <w:rFonts w:ascii="Arial" w:eastAsia="Times New Roman" w:hAnsi="Arial" w:cs="Arial"/>
          <w:color w:val="000000"/>
          <w:lang w:val="en-ZA" w:eastAsia="en-ZA"/>
        </w:rPr>
        <w:tab/>
        <w:t xml:space="preserve">Commencement of the next level is </w:t>
      </w:r>
      <w:r w:rsidR="00221B45" w:rsidRPr="00BB6A2B">
        <w:rPr>
          <w:rFonts w:ascii="Arial" w:eastAsia="Times New Roman" w:hAnsi="Arial" w:cs="Arial"/>
          <w:color w:val="000000"/>
          <w:lang w:val="en-ZA" w:eastAsia="en-ZA"/>
        </w:rPr>
        <w:t>dependent</w:t>
      </w:r>
      <w:r w:rsidRPr="00BB6A2B">
        <w:rPr>
          <w:rFonts w:ascii="Arial" w:eastAsia="Times New Roman" w:hAnsi="Arial" w:cs="Arial"/>
          <w:color w:val="000000"/>
          <w:lang w:val="en-ZA" w:eastAsia="en-ZA"/>
        </w:rPr>
        <w:t> on the outcome of the external moderation report. In the event that the external moderation upholds the assessment decision and there is no remediation required, the next level can commence. It usually takes a week for the external moderation to be quality assured and issued. Customarily, the next level can commence within one month.</w:t>
      </w:r>
    </w:p>
    <w:p w:rsidR="00BB6A2B" w:rsidRPr="00BB6A2B" w:rsidRDefault="00BB6A2B" w:rsidP="00BB6A2B">
      <w:pPr>
        <w:tabs>
          <w:tab w:val="left" w:pos="360"/>
        </w:tabs>
        <w:spacing w:line="360" w:lineRule="auto"/>
        <w:ind w:left="810" w:hanging="810"/>
        <w:jc w:val="both"/>
        <w:rPr>
          <w:rFonts w:ascii="Arial" w:eastAsia="Times New Roman" w:hAnsi="Arial" w:cs="Arial"/>
          <w:color w:val="000000"/>
          <w:lang w:val="en-ZA" w:eastAsia="en-ZA"/>
        </w:rPr>
      </w:pPr>
      <w:r w:rsidRPr="00BB6A2B">
        <w:rPr>
          <w:rFonts w:ascii="Arial" w:eastAsia="Times New Roman" w:hAnsi="Arial" w:cs="Arial"/>
          <w:color w:val="000000"/>
          <w:lang w:val="en-ZA" w:eastAsia="en-ZA"/>
        </w:rPr>
        <w:t>(e)    </w:t>
      </w:r>
      <w:r w:rsidRPr="00BB6A2B">
        <w:rPr>
          <w:rFonts w:ascii="Arial" w:eastAsia="Times New Roman" w:hAnsi="Arial" w:cs="Arial"/>
          <w:color w:val="000000"/>
          <w:lang w:val="en-ZA" w:eastAsia="en-ZA"/>
        </w:rPr>
        <w:tab/>
        <w:t>According to the SETA records, the training provider did not submit attendance registers for all learners before the lockdown period. An attendance register was received for only 8 out of the 40 learners, and payment was effected for the 8 learners who are deemed compliant with the Training Agreement.</w:t>
      </w:r>
    </w:p>
    <w:p w:rsidR="00BB6A2B" w:rsidRPr="00BB6A2B" w:rsidRDefault="00BB6A2B" w:rsidP="00BB6A2B">
      <w:pPr>
        <w:tabs>
          <w:tab w:val="left" w:pos="360"/>
        </w:tabs>
        <w:spacing w:line="360" w:lineRule="auto"/>
        <w:ind w:left="810" w:hanging="810"/>
        <w:jc w:val="both"/>
        <w:rPr>
          <w:rFonts w:ascii="Arial" w:eastAsia="Times New Roman" w:hAnsi="Arial" w:cs="Arial"/>
          <w:color w:val="000000"/>
          <w:lang w:val="en-ZA" w:eastAsia="en-ZA"/>
        </w:rPr>
      </w:pPr>
      <w:r w:rsidRPr="00BB6A2B">
        <w:rPr>
          <w:rFonts w:ascii="Arial" w:eastAsia="Times New Roman" w:hAnsi="Arial" w:cs="Arial"/>
          <w:color w:val="000000"/>
          <w:lang w:val="en-ZA" w:eastAsia="en-ZA"/>
        </w:rPr>
        <w:t>(f)    </w:t>
      </w:r>
      <w:r w:rsidRPr="00BB6A2B">
        <w:rPr>
          <w:rFonts w:ascii="Arial" w:eastAsia="Times New Roman" w:hAnsi="Arial" w:cs="Arial"/>
          <w:color w:val="000000"/>
          <w:lang w:val="en-ZA" w:eastAsia="en-ZA"/>
        </w:rPr>
        <w:tab/>
        <w:t>Where the programme has been stalled by the training provider:</w:t>
      </w:r>
    </w:p>
    <w:p w:rsidR="00BB6A2B" w:rsidRPr="00BB6A2B" w:rsidRDefault="00BB6A2B" w:rsidP="00BB6A2B">
      <w:pPr>
        <w:tabs>
          <w:tab w:val="left" w:pos="360"/>
        </w:tabs>
        <w:spacing w:line="360" w:lineRule="auto"/>
        <w:ind w:left="810" w:hanging="810"/>
        <w:jc w:val="both"/>
        <w:rPr>
          <w:rFonts w:ascii="Arial" w:eastAsia="Times New Roman" w:hAnsi="Arial" w:cs="Arial"/>
          <w:color w:val="000000"/>
          <w:lang w:val="en-ZA" w:eastAsia="en-ZA"/>
        </w:rPr>
      </w:pPr>
      <w:r w:rsidRPr="00BB6A2B">
        <w:rPr>
          <w:rFonts w:ascii="Arial" w:eastAsia="Times New Roman" w:hAnsi="Arial" w:cs="Arial"/>
          <w:color w:val="000000"/>
          <w:lang w:val="en-ZA" w:eastAsia="en-ZA"/>
        </w:rPr>
        <w:t>  </w:t>
      </w:r>
      <w:r w:rsidRPr="00BB6A2B">
        <w:rPr>
          <w:rFonts w:ascii="Arial" w:eastAsia="Times New Roman" w:hAnsi="Arial" w:cs="Arial"/>
          <w:color w:val="000000"/>
          <w:lang w:val="en-ZA" w:eastAsia="en-ZA"/>
        </w:rPr>
        <w:tab/>
        <w:t>(</w:t>
      </w:r>
      <w:proofErr w:type="spellStart"/>
      <w:r w:rsidRPr="00BB6A2B">
        <w:rPr>
          <w:rFonts w:ascii="Arial" w:eastAsia="Times New Roman" w:hAnsi="Arial" w:cs="Arial"/>
          <w:color w:val="000000"/>
          <w:lang w:val="en-ZA" w:eastAsia="en-ZA"/>
        </w:rPr>
        <w:t>i</w:t>
      </w:r>
      <w:proofErr w:type="spellEnd"/>
      <w:r w:rsidRPr="00BB6A2B">
        <w:rPr>
          <w:rFonts w:ascii="Arial" w:eastAsia="Times New Roman" w:hAnsi="Arial" w:cs="Arial"/>
          <w:color w:val="000000"/>
          <w:lang w:val="en-ZA" w:eastAsia="en-ZA"/>
        </w:rPr>
        <w:t>)    The duration of the programme will be extended by the same period subject to the training provider submitting an implementation plan to complete the project.</w:t>
      </w:r>
    </w:p>
    <w:p w:rsidR="00BB6A2B" w:rsidRPr="00BB6A2B" w:rsidRDefault="00BB6A2B" w:rsidP="00BB6A2B">
      <w:pPr>
        <w:tabs>
          <w:tab w:val="left" w:pos="360"/>
        </w:tabs>
        <w:spacing w:line="360" w:lineRule="auto"/>
        <w:ind w:left="810" w:hanging="810"/>
        <w:jc w:val="both"/>
        <w:rPr>
          <w:rFonts w:ascii="Arial" w:eastAsia="Times New Roman" w:hAnsi="Arial" w:cs="Arial"/>
          <w:color w:val="000000"/>
          <w:lang w:val="en-ZA" w:eastAsia="en-ZA"/>
        </w:rPr>
      </w:pPr>
      <w:r w:rsidRPr="00BB6A2B">
        <w:rPr>
          <w:rFonts w:ascii="Arial" w:eastAsia="Times New Roman" w:hAnsi="Arial" w:cs="Arial"/>
          <w:b/>
          <w:bCs/>
          <w:color w:val="000000"/>
          <w:lang w:val="en-ZA" w:eastAsia="en-ZA"/>
        </w:rPr>
        <w:t>    </w:t>
      </w:r>
      <w:r w:rsidRPr="00BB6A2B">
        <w:rPr>
          <w:rFonts w:ascii="Arial" w:eastAsia="Times New Roman" w:hAnsi="Arial" w:cs="Arial"/>
          <w:b/>
          <w:bCs/>
          <w:color w:val="000000"/>
          <w:lang w:val="en-ZA" w:eastAsia="en-ZA"/>
        </w:rPr>
        <w:tab/>
      </w:r>
      <w:r w:rsidRPr="00BB6A2B">
        <w:rPr>
          <w:rFonts w:ascii="Arial" w:eastAsia="Times New Roman" w:hAnsi="Arial" w:cs="Arial"/>
          <w:color w:val="000000"/>
          <w:lang w:val="en-ZA" w:eastAsia="en-ZA"/>
        </w:rPr>
        <w:t>(ii)   </w:t>
      </w:r>
      <w:r w:rsidRPr="00BB6A2B">
        <w:rPr>
          <w:rFonts w:ascii="Arial" w:eastAsia="Times New Roman" w:hAnsi="Arial" w:cs="Arial"/>
          <w:color w:val="000000"/>
          <w:lang w:val="en-ZA" w:eastAsia="en-ZA"/>
        </w:rPr>
        <w:tab/>
        <w:t>According to the SETA, learners will not be paid additional stipends for the additional period where the training provider stalled the programme. Procedurally, stipends are paid to learners once the programme has resumed and on receipt of attendance registers confirming the training.</w:t>
      </w:r>
    </w:p>
    <w:p w:rsidR="00305F40" w:rsidRPr="00305F40" w:rsidRDefault="00305F40" w:rsidP="00305F40">
      <w:pPr>
        <w:spacing w:before="240" w:after="240" w:line="360" w:lineRule="auto"/>
        <w:jc w:val="both"/>
        <w:rPr>
          <w:rFonts w:ascii="Arial" w:hAnsi="Arial" w:cs="Arial"/>
          <w:b/>
        </w:rPr>
      </w:pPr>
    </w:p>
    <w:p w:rsidR="00170099" w:rsidRPr="00B3399B" w:rsidRDefault="00170099" w:rsidP="00DA2D5E">
      <w:pPr>
        <w:spacing w:before="240" w:line="360" w:lineRule="auto"/>
        <w:jc w:val="both"/>
        <w:rPr>
          <w:rFonts w:ascii="Arial" w:hAnsi="Arial" w:cs="Arial"/>
          <w:lang w:val="en-US"/>
        </w:rPr>
      </w:pPr>
    </w:p>
    <w:sectPr w:rsidR="00170099" w:rsidRPr="00B339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7E87EF5"/>
    <w:multiLevelType w:val="hybridMultilevel"/>
    <w:tmpl w:val="0A74804E"/>
    <w:lvl w:ilvl="0" w:tplc="D2883460">
      <w:start w:val="1"/>
      <w:numFmt w:val="lowerLetter"/>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345E5D"/>
    <w:multiLevelType w:val="hybridMultilevel"/>
    <w:tmpl w:val="955A08E4"/>
    <w:lvl w:ilvl="0" w:tplc="9D8C9384">
      <w:start w:val="2"/>
      <w:numFmt w:val="decimal"/>
      <w:lvlText w:val="%1."/>
      <w:lvlJc w:val="left"/>
      <w:pPr>
        <w:ind w:left="12366" w:hanging="360"/>
      </w:pPr>
    </w:lvl>
    <w:lvl w:ilvl="1" w:tplc="1C090019">
      <w:start w:val="1"/>
      <w:numFmt w:val="lowerLetter"/>
      <w:lvlText w:val="%2."/>
      <w:lvlJc w:val="left"/>
      <w:pPr>
        <w:ind w:left="13086" w:hanging="360"/>
      </w:pPr>
    </w:lvl>
    <w:lvl w:ilvl="2" w:tplc="1C09001B">
      <w:start w:val="1"/>
      <w:numFmt w:val="lowerRoman"/>
      <w:lvlText w:val="%3."/>
      <w:lvlJc w:val="right"/>
      <w:pPr>
        <w:ind w:left="13806" w:hanging="180"/>
      </w:pPr>
    </w:lvl>
    <w:lvl w:ilvl="3" w:tplc="1C09000F">
      <w:start w:val="1"/>
      <w:numFmt w:val="decimal"/>
      <w:lvlText w:val="%4."/>
      <w:lvlJc w:val="left"/>
      <w:pPr>
        <w:ind w:left="14526" w:hanging="360"/>
      </w:pPr>
    </w:lvl>
    <w:lvl w:ilvl="4" w:tplc="1C090019">
      <w:start w:val="1"/>
      <w:numFmt w:val="lowerLetter"/>
      <w:lvlText w:val="%5."/>
      <w:lvlJc w:val="left"/>
      <w:pPr>
        <w:ind w:left="15246" w:hanging="360"/>
      </w:pPr>
    </w:lvl>
    <w:lvl w:ilvl="5" w:tplc="1C09001B">
      <w:start w:val="1"/>
      <w:numFmt w:val="lowerRoman"/>
      <w:lvlText w:val="%6."/>
      <w:lvlJc w:val="right"/>
      <w:pPr>
        <w:ind w:left="15966" w:hanging="180"/>
      </w:pPr>
    </w:lvl>
    <w:lvl w:ilvl="6" w:tplc="1C09000F">
      <w:start w:val="1"/>
      <w:numFmt w:val="decimal"/>
      <w:lvlText w:val="%7."/>
      <w:lvlJc w:val="left"/>
      <w:pPr>
        <w:ind w:left="16686" w:hanging="360"/>
      </w:pPr>
    </w:lvl>
    <w:lvl w:ilvl="7" w:tplc="1C090019">
      <w:start w:val="1"/>
      <w:numFmt w:val="lowerLetter"/>
      <w:lvlText w:val="%8."/>
      <w:lvlJc w:val="left"/>
      <w:pPr>
        <w:ind w:left="17406" w:hanging="360"/>
      </w:pPr>
    </w:lvl>
    <w:lvl w:ilvl="8" w:tplc="1C09001B">
      <w:start w:val="1"/>
      <w:numFmt w:val="lowerRoman"/>
      <w:lvlText w:val="%9."/>
      <w:lvlJc w:val="right"/>
      <w:pPr>
        <w:ind w:left="18126" w:hanging="180"/>
      </w:pPr>
    </w:lvl>
  </w:abstractNum>
  <w:abstractNum w:abstractNumId="5" w15:restartNumberingAfterBreak="0">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15:restartNumberingAfterBreak="0">
    <w:nsid w:val="217F4424"/>
    <w:multiLevelType w:val="hybridMultilevel"/>
    <w:tmpl w:val="B06803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2" w15:restartNumberingAfterBreak="0">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2462029B"/>
    <w:multiLevelType w:val="hybridMultilevel"/>
    <w:tmpl w:val="410E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5" w15:restartNumberingAfterBreak="0">
    <w:nsid w:val="27E2317E"/>
    <w:multiLevelType w:val="hybridMultilevel"/>
    <w:tmpl w:val="7528FF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BC606D9"/>
    <w:multiLevelType w:val="hybridMultilevel"/>
    <w:tmpl w:val="BE52C14A"/>
    <w:lvl w:ilvl="0" w:tplc="2528C86E">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8"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F8951A0"/>
    <w:multiLevelType w:val="hybridMultilevel"/>
    <w:tmpl w:val="93C0ADF4"/>
    <w:lvl w:ilvl="0" w:tplc="9E546D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7514A3"/>
    <w:multiLevelType w:val="hybridMultilevel"/>
    <w:tmpl w:val="C2024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C4AE7"/>
    <w:multiLevelType w:val="hybridMultilevel"/>
    <w:tmpl w:val="79A4154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1EA788D"/>
    <w:multiLevelType w:val="hybridMultilevel"/>
    <w:tmpl w:val="65280602"/>
    <w:lvl w:ilvl="0" w:tplc="BAD86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C67D69"/>
    <w:multiLevelType w:val="hybridMultilevel"/>
    <w:tmpl w:val="23A6EB86"/>
    <w:lvl w:ilvl="0" w:tplc="34E0EB36">
      <w:start w:val="1"/>
      <w:numFmt w:val="decimal"/>
      <w:lvlText w:val="%1."/>
      <w:lvlJc w:val="left"/>
      <w:pPr>
        <w:ind w:left="72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9" w15:restartNumberingAfterBreak="0">
    <w:nsid w:val="59566EEE"/>
    <w:multiLevelType w:val="hybridMultilevel"/>
    <w:tmpl w:val="9B64E612"/>
    <w:lvl w:ilvl="0" w:tplc="369A0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31" w15:restartNumberingAfterBreak="0">
    <w:nsid w:val="5F7850C2"/>
    <w:multiLevelType w:val="hybridMultilevel"/>
    <w:tmpl w:val="B8E014C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3" w15:restartNumberingAfterBreak="0">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4EF686B"/>
    <w:multiLevelType w:val="hybridMultilevel"/>
    <w:tmpl w:val="B8FAD33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4F962DD"/>
    <w:multiLevelType w:val="hybridMultilevel"/>
    <w:tmpl w:val="A26475A6"/>
    <w:lvl w:ilvl="0" w:tplc="2B68B1AC">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94D06A8"/>
    <w:multiLevelType w:val="hybridMultilevel"/>
    <w:tmpl w:val="3382719C"/>
    <w:lvl w:ilvl="0" w:tplc="E160DA38">
      <w:start w:val="1"/>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38" w15:restartNumberingAfterBreak="0">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42" w15:restartNumberingAfterBreak="0">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4"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7"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11"/>
  </w:num>
  <w:num w:numId="2">
    <w:abstractNumId w:val="0"/>
  </w:num>
  <w:num w:numId="3">
    <w:abstractNumId w:val="48"/>
  </w:num>
  <w:num w:numId="4">
    <w:abstractNumId w:val="36"/>
  </w:num>
  <w:num w:numId="5">
    <w:abstractNumId w:val="3"/>
  </w:num>
  <w:num w:numId="6">
    <w:abstractNumId w:val="44"/>
  </w:num>
  <w:num w:numId="7">
    <w:abstractNumId w:val="30"/>
  </w:num>
  <w:num w:numId="8">
    <w:abstractNumId w:val="41"/>
  </w:num>
  <w:num w:numId="9">
    <w:abstractNumId w:val="28"/>
  </w:num>
  <w:num w:numId="10">
    <w:abstractNumId w:val="43"/>
  </w:num>
  <w:num w:numId="11">
    <w:abstractNumId w:val="14"/>
  </w:num>
  <w:num w:numId="12">
    <w:abstractNumId w:val="18"/>
  </w:num>
  <w:num w:numId="13">
    <w:abstractNumId w:val="2"/>
  </w:num>
  <w:num w:numId="14">
    <w:abstractNumId w:val="25"/>
  </w:num>
  <w:num w:numId="15">
    <w:abstractNumId w:val="40"/>
  </w:num>
  <w:num w:numId="16">
    <w:abstractNumId w:val="7"/>
  </w:num>
  <w:num w:numId="17">
    <w:abstractNumId w:val="46"/>
  </w:num>
  <w:num w:numId="18">
    <w:abstractNumId w:val="39"/>
  </w:num>
  <w:num w:numId="19">
    <w:abstractNumId w:val="47"/>
  </w:num>
  <w:num w:numId="20">
    <w:abstractNumId w:val="10"/>
  </w:num>
  <w:num w:numId="21">
    <w:abstractNumId w:val="23"/>
  </w:num>
  <w:num w:numId="22">
    <w:abstractNumId w:val="12"/>
  </w:num>
  <w:num w:numId="23">
    <w:abstractNumId w:val="17"/>
  </w:num>
  <w:num w:numId="24">
    <w:abstractNumId w:val="26"/>
  </w:num>
  <w:num w:numId="25">
    <w:abstractNumId w:val="32"/>
  </w:num>
  <w:num w:numId="26">
    <w:abstractNumId w:val="45"/>
  </w:num>
  <w:num w:numId="27">
    <w:abstractNumId w:val="24"/>
  </w:num>
  <w:num w:numId="28">
    <w:abstractNumId w:val="5"/>
  </w:num>
  <w:num w:numId="29">
    <w:abstractNumId w:val="38"/>
  </w:num>
  <w:num w:numId="30">
    <w:abstractNumId w:val="42"/>
  </w:num>
  <w:num w:numId="31">
    <w:abstractNumId w:val="33"/>
  </w:num>
  <w:num w:numId="32">
    <w:abstractNumId w:val="6"/>
  </w:num>
  <w:num w:numId="33">
    <w:abstractNumId w:val="8"/>
  </w:num>
  <w:num w:numId="34">
    <w:abstractNumId w:val="13"/>
  </w:num>
  <w:num w:numId="35">
    <w:abstractNumId w:val="9"/>
  </w:num>
  <w:num w:numId="36">
    <w:abstractNumId w:val="20"/>
  </w:num>
  <w:num w:numId="37">
    <w:abstractNumId w:val="35"/>
  </w:num>
  <w:num w:numId="38">
    <w:abstractNumId w:val="27"/>
  </w:num>
  <w:num w:numId="39">
    <w:abstractNumId w:val="19"/>
  </w:num>
  <w:num w:numId="40">
    <w:abstractNumId w:val="22"/>
  </w:num>
  <w:num w:numId="41">
    <w:abstractNumId w:val="15"/>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6"/>
  </w:num>
  <w:num w:numId="47">
    <w:abstractNumId w:val="34"/>
  </w:num>
  <w:num w:numId="48">
    <w:abstractNumId w:val="21"/>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A9"/>
    <w:rsid w:val="000A0CCC"/>
    <w:rsid w:val="00170099"/>
    <w:rsid w:val="00174676"/>
    <w:rsid w:val="00190E1B"/>
    <w:rsid w:val="001C75E4"/>
    <w:rsid w:val="00221B45"/>
    <w:rsid w:val="002922B1"/>
    <w:rsid w:val="00304AAF"/>
    <w:rsid w:val="00305F40"/>
    <w:rsid w:val="00307491"/>
    <w:rsid w:val="00333979"/>
    <w:rsid w:val="003A384E"/>
    <w:rsid w:val="00405791"/>
    <w:rsid w:val="00414571"/>
    <w:rsid w:val="00427E27"/>
    <w:rsid w:val="004575D5"/>
    <w:rsid w:val="004D1863"/>
    <w:rsid w:val="005101A1"/>
    <w:rsid w:val="00565BC7"/>
    <w:rsid w:val="00567D88"/>
    <w:rsid w:val="005B69E5"/>
    <w:rsid w:val="005E3618"/>
    <w:rsid w:val="00607F4B"/>
    <w:rsid w:val="006C1443"/>
    <w:rsid w:val="007816AD"/>
    <w:rsid w:val="007C103A"/>
    <w:rsid w:val="007C5798"/>
    <w:rsid w:val="007E70D8"/>
    <w:rsid w:val="007F720E"/>
    <w:rsid w:val="00870E60"/>
    <w:rsid w:val="008C2DEA"/>
    <w:rsid w:val="008E4A54"/>
    <w:rsid w:val="00925401"/>
    <w:rsid w:val="00971486"/>
    <w:rsid w:val="009F1D2C"/>
    <w:rsid w:val="00A171A9"/>
    <w:rsid w:val="00A33C4F"/>
    <w:rsid w:val="00B04738"/>
    <w:rsid w:val="00B3399B"/>
    <w:rsid w:val="00B50624"/>
    <w:rsid w:val="00B5719A"/>
    <w:rsid w:val="00BB6A2B"/>
    <w:rsid w:val="00D73705"/>
    <w:rsid w:val="00DA2D5E"/>
    <w:rsid w:val="00DE221F"/>
    <w:rsid w:val="00DE51AD"/>
    <w:rsid w:val="00E35CA2"/>
    <w:rsid w:val="00E92898"/>
    <w:rsid w:val="00F2381F"/>
    <w:rsid w:val="00F74F5C"/>
    <w:rsid w:val="00FA50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074D4-316C-44BB-9643-620BDAE0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Babulele Bingwa</dc:creator>
  <cp:keywords/>
  <dc:description/>
  <cp:lastModifiedBy>Nikiwe Ncetezo</cp:lastModifiedBy>
  <cp:revision>2</cp:revision>
  <dcterms:created xsi:type="dcterms:W3CDTF">2020-07-01T16:24:00Z</dcterms:created>
  <dcterms:modified xsi:type="dcterms:W3CDTF">2020-07-01T16:24:00Z</dcterms:modified>
</cp:coreProperties>
</file>