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A2" w:rsidRDefault="00CF3AA2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bookmarkStart w:id="0" w:name="_GoBack"/>
      <w:bookmarkEnd w:id="0"/>
    </w:p>
    <w:p w:rsidR="00C97C72" w:rsidRDefault="00C97C72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B5B1EAF" wp14:editId="61B4F148">
            <wp:simplePos x="0" y="0"/>
            <wp:positionH relativeFrom="margin">
              <wp:align>center</wp:align>
            </wp:positionH>
            <wp:positionV relativeFrom="paragraph">
              <wp:posOffset>5787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BB7B0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 xml:space="preserve">WRITTEN 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>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31241E">
        <w:rPr>
          <w:rFonts w:cs="Arial"/>
          <w:b/>
          <w:sz w:val="24"/>
          <w:szCs w:val="24"/>
        </w:rPr>
        <w:t>1267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282D33">
        <w:rPr>
          <w:rFonts w:eastAsia="Calibri" w:cs="Arial"/>
          <w:b/>
          <w:sz w:val="24"/>
          <w:szCs w:val="24"/>
          <w:lang w:eastAsia="en-US"/>
        </w:rPr>
        <w:t>NO</w:t>
      </w:r>
      <w:r w:rsidR="007262F8">
        <w:rPr>
          <w:rFonts w:eastAsia="Calibri" w:cs="Arial"/>
          <w:b/>
          <w:sz w:val="24"/>
          <w:szCs w:val="24"/>
          <w:lang w:eastAsia="en-US"/>
        </w:rPr>
        <w:t>1634</w:t>
      </w:r>
      <w:r w:rsidR="003C5D32" w:rsidRPr="003C5D32">
        <w:rPr>
          <w:rFonts w:eastAsia="Calibri" w:cs="Arial"/>
          <w:b/>
          <w:sz w:val="24"/>
          <w:szCs w:val="24"/>
          <w:lang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093124">
        <w:rPr>
          <w:rFonts w:cs="Arial"/>
          <w:b/>
          <w:sz w:val="24"/>
          <w:szCs w:val="24"/>
          <w:lang w:val="en-US" w:eastAsia="en-US"/>
        </w:rPr>
        <w:t>2</w:t>
      </w:r>
      <w:r w:rsidR="00206DB6">
        <w:rPr>
          <w:rFonts w:cs="Arial"/>
          <w:b/>
          <w:sz w:val="24"/>
          <w:szCs w:val="24"/>
          <w:lang w:val="en-US" w:eastAsia="en-US"/>
        </w:rPr>
        <w:t>2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B7B04">
        <w:rPr>
          <w:rFonts w:cs="Arial"/>
          <w:b/>
          <w:sz w:val="24"/>
          <w:szCs w:val="24"/>
        </w:rPr>
        <w:t>19</w:t>
      </w:r>
      <w:r w:rsidR="00093124">
        <w:rPr>
          <w:rFonts w:cs="Arial"/>
          <w:b/>
          <w:sz w:val="24"/>
          <w:szCs w:val="24"/>
        </w:rPr>
        <w:t xml:space="preserve"> </w:t>
      </w:r>
      <w:r w:rsidR="00EA432C">
        <w:rPr>
          <w:rFonts w:cs="Arial"/>
          <w:b/>
          <w:sz w:val="24"/>
          <w:szCs w:val="24"/>
        </w:rPr>
        <w:t>JUNE</w:t>
      </w:r>
      <w:r w:rsidR="00093124">
        <w:rPr>
          <w:rFonts w:cs="Arial"/>
          <w:b/>
          <w:sz w:val="24"/>
          <w:szCs w:val="24"/>
        </w:rPr>
        <w:t xml:space="preserve"> 2020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  </w:t>
      </w:r>
      <w:r w:rsidR="00364767">
        <w:rPr>
          <w:rFonts w:cs="Arial"/>
          <w:b/>
          <w:sz w:val="24"/>
          <w:szCs w:val="24"/>
          <w:lang w:val="en-US" w:eastAsia="en-US"/>
        </w:rPr>
        <w:t xml:space="preserve">24 JULY </w:t>
      </w:r>
      <w:r w:rsidR="00093124">
        <w:rPr>
          <w:rFonts w:cs="Arial"/>
          <w:b/>
          <w:sz w:val="24"/>
          <w:szCs w:val="24"/>
          <w:lang w:val="en-US" w:eastAsia="en-US"/>
        </w:rPr>
        <w:t>2020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206DB6" w:rsidRPr="00206DB6" w:rsidRDefault="0031241E" w:rsidP="00206DB6">
      <w:pPr>
        <w:spacing w:before="100" w:beforeAutospacing="1" w:after="100" w:afterAutospacing="1" w:line="259" w:lineRule="auto"/>
        <w:ind w:left="720" w:hanging="720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</w:rPr>
        <w:t>1267</w:t>
      </w:r>
      <w:r w:rsidR="008425A3" w:rsidRPr="001832D4">
        <w:rPr>
          <w:rFonts w:eastAsia="Calibri" w:cs="Arial"/>
          <w:b/>
          <w:sz w:val="24"/>
          <w:szCs w:val="24"/>
        </w:rPr>
        <w:t>.</w:t>
      </w:r>
      <w:r w:rsidR="00C16114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>
        <w:rPr>
          <w:rFonts w:eastAsia="Calibri" w:cs="Arial"/>
          <w:b/>
          <w:sz w:val="24"/>
          <w:szCs w:val="24"/>
          <w:lang w:eastAsia="en-US"/>
        </w:rPr>
        <w:t>Ms S J Graham (DA)</w:t>
      </w:r>
      <w:r w:rsidR="0056311D" w:rsidRPr="0056311D">
        <w:rPr>
          <w:rFonts w:eastAsia="Calibri" w:cs="Arial"/>
          <w:b/>
          <w:sz w:val="24"/>
          <w:szCs w:val="24"/>
          <w:lang w:eastAsia="en-US"/>
        </w:rPr>
        <w:t xml:space="preserve"> </w:t>
      </w:r>
      <w:r w:rsidR="00206DB6" w:rsidRPr="00206DB6">
        <w:rPr>
          <w:rFonts w:eastAsia="Calibri" w:cs="Arial"/>
          <w:b/>
          <w:sz w:val="24"/>
          <w:szCs w:val="24"/>
          <w:lang w:eastAsia="en-US"/>
        </w:rPr>
        <w:t>asked the Minister of Public Works and Infrastructure</w:t>
      </w:r>
      <w:r w:rsidR="00206DB6" w:rsidRPr="00206DB6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206DB6" w:rsidRPr="00206DB6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206DB6" w:rsidRPr="00206DB6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206DB6" w:rsidRPr="00206DB6">
        <w:rPr>
          <w:rFonts w:eastAsia="Calibri" w:cs="Arial"/>
          <w:sz w:val="24"/>
          <w:szCs w:val="24"/>
          <w:lang w:eastAsia="en-US"/>
        </w:rPr>
        <w:instrText xml:space="preserve">" </w:instrText>
      </w:r>
      <w:r w:rsidR="00206DB6" w:rsidRPr="00206DB6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206DB6" w:rsidRPr="00206DB6">
        <w:rPr>
          <w:rFonts w:eastAsia="Calibri" w:cs="Arial"/>
          <w:b/>
          <w:sz w:val="24"/>
          <w:szCs w:val="24"/>
          <w:lang w:eastAsia="en-US"/>
        </w:rPr>
        <w:t xml:space="preserve">: </w:t>
      </w:r>
    </w:p>
    <w:p w:rsidR="0031241E" w:rsidRPr="0031241E" w:rsidRDefault="0031241E" w:rsidP="0031241E">
      <w:pPr>
        <w:ind w:left="720" w:right="-194"/>
        <w:outlineLvl w:val="0"/>
        <w:rPr>
          <w:rFonts w:eastAsia="Calibri" w:cs="Arial"/>
          <w:b/>
          <w:sz w:val="24"/>
          <w:szCs w:val="24"/>
          <w:lang w:eastAsia="en-US"/>
        </w:rPr>
      </w:pPr>
      <w:r w:rsidRPr="0031241E">
        <w:rPr>
          <w:rFonts w:eastAsia="Calibri" w:cs="Arial"/>
          <w:sz w:val="24"/>
          <w:szCs w:val="24"/>
          <w:lang w:eastAsia="en-US"/>
        </w:rPr>
        <w:t xml:space="preserve">In view of the fact that a virement of approximately R3 million was transferred from Programme 4: Property and Construction Industry Policy to Programme 1: Administration to be allocated to Legal Services, what are the (a) specific matters to which the money was allocated; (b) programmes that will be impacted by the virement of funds and (c) costs for legal counsel associated with each matter? </w:t>
      </w:r>
      <w:r>
        <w:rPr>
          <w:rFonts w:eastAsia="Calibri" w:cs="Arial"/>
          <w:sz w:val="24"/>
          <w:szCs w:val="24"/>
          <w:lang w:eastAsia="en-US"/>
        </w:rPr>
        <w:t xml:space="preserve">         </w:t>
      </w:r>
      <w:r w:rsidRPr="0031241E">
        <w:rPr>
          <w:rFonts w:eastAsia="Calibri" w:cs="Arial"/>
          <w:b/>
          <w:sz w:val="24"/>
          <w:szCs w:val="24"/>
          <w:lang w:eastAsia="en-US"/>
        </w:rPr>
        <w:t>NW1634E</w:t>
      </w:r>
    </w:p>
    <w:p w:rsidR="00AB4213" w:rsidRPr="00E74FEB" w:rsidRDefault="004D2F24" w:rsidP="0031241E">
      <w:pPr>
        <w:ind w:right="-194"/>
        <w:outlineLvl w:val="0"/>
        <w:rPr>
          <w:rFonts w:cs="Arial"/>
          <w:b/>
          <w:szCs w:val="22"/>
          <w:lang w:eastAsia="en-US"/>
        </w:rPr>
      </w:pPr>
      <w:r w:rsidRPr="0056311D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56311D">
        <w:rPr>
          <w:rFonts w:cs="Arial"/>
          <w:b/>
          <w:sz w:val="24"/>
          <w:szCs w:val="24"/>
          <w:lang w:eastAsia="en-US"/>
        </w:rPr>
        <w:t>_____________________________</w:t>
      </w:r>
      <w:r w:rsidR="00E526CF" w:rsidRPr="00155F06">
        <w:rPr>
          <w:rFonts w:cs="Arial"/>
          <w:b/>
          <w:szCs w:val="22"/>
          <w:lang w:eastAsia="en-US"/>
        </w:rPr>
        <w:t>___________</w:t>
      </w:r>
      <w:r w:rsidR="00282D33">
        <w:rPr>
          <w:rFonts w:cs="Arial"/>
          <w:b/>
          <w:szCs w:val="22"/>
          <w:lang w:eastAsia="en-US"/>
        </w:rPr>
        <w:t>______</w:t>
      </w: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3A3C9B" w:rsidRDefault="003A3C9B" w:rsidP="00EE2AEC">
      <w:pPr>
        <w:rPr>
          <w:rFonts w:cs="Arial"/>
          <w:b/>
          <w:sz w:val="24"/>
          <w:szCs w:val="24"/>
          <w:lang w:eastAsia="en-US"/>
        </w:rPr>
      </w:pPr>
    </w:p>
    <w:p w:rsidR="00A555CE" w:rsidRDefault="00093124" w:rsidP="00F44106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</w:t>
      </w:r>
      <w:r w:rsidR="00693963">
        <w:rPr>
          <w:b/>
          <w:bCs/>
          <w:sz w:val="24"/>
          <w:szCs w:val="24"/>
        </w:rPr>
        <w:t xml:space="preserve"> Infrastructure: </w:t>
      </w:r>
    </w:p>
    <w:p w:rsidR="00AF4CEE" w:rsidRDefault="00AF4CEE" w:rsidP="00F44106">
      <w:pPr>
        <w:spacing w:line="360" w:lineRule="auto"/>
        <w:rPr>
          <w:b/>
          <w:bCs/>
          <w:sz w:val="24"/>
          <w:szCs w:val="24"/>
        </w:rPr>
      </w:pPr>
    </w:p>
    <w:p w:rsidR="00AF4CEE" w:rsidRDefault="00364767" w:rsidP="000A4773">
      <w:pPr>
        <w:pStyle w:val="BodyText"/>
        <w:numPr>
          <w:ilvl w:val="0"/>
          <w:numId w:val="6"/>
        </w:numPr>
        <w:ind w:hanging="720"/>
      </w:pPr>
      <w:r>
        <w:t>I am informed by the Department of Public Works and Infrastructure that t</w:t>
      </w:r>
      <w:r w:rsidR="00AF4CEE" w:rsidRPr="00AF4CEE">
        <w:t>he</w:t>
      </w:r>
      <w:r w:rsidR="006A7560">
        <w:t xml:space="preserve"> money was initially earmarked</w:t>
      </w:r>
      <w:r w:rsidR="00D03ADC">
        <w:t xml:space="preserve"> in 2019</w:t>
      </w:r>
      <w:r w:rsidR="006A7560">
        <w:t xml:space="preserve"> for appointment of Legal Counsel to advise on the </w:t>
      </w:r>
      <w:r w:rsidR="002978CF" w:rsidRPr="00896B4E">
        <w:t>E</w:t>
      </w:r>
      <w:r w:rsidR="006A7560" w:rsidRPr="00896B4E">
        <w:t xml:space="preserve">xpropriation </w:t>
      </w:r>
      <w:r w:rsidR="002978CF" w:rsidRPr="00896B4E">
        <w:t>B</w:t>
      </w:r>
      <w:r w:rsidR="006A7560" w:rsidRPr="00896B4E">
        <w:t>ill,</w:t>
      </w:r>
      <w:r w:rsidR="002978CF" w:rsidRPr="00896B4E">
        <w:t xml:space="preserve"> </w:t>
      </w:r>
      <w:r w:rsidR="00D03ADC">
        <w:t>however</w:t>
      </w:r>
      <w:r w:rsidR="006A7560">
        <w:t xml:space="preserve"> due to less claims </w:t>
      </w:r>
      <w:r w:rsidR="005B49A9">
        <w:t xml:space="preserve">having been </w:t>
      </w:r>
      <w:r w:rsidR="006A7560">
        <w:t xml:space="preserve">received for work done by </w:t>
      </w:r>
      <w:r w:rsidR="005B49A9">
        <w:t xml:space="preserve">Advocates </w:t>
      </w:r>
      <w:r w:rsidR="006A7560">
        <w:t xml:space="preserve">on the Expropriation Bill </w:t>
      </w:r>
      <w:r w:rsidR="005B49A9">
        <w:t xml:space="preserve">through </w:t>
      </w:r>
      <w:r w:rsidR="006A7560">
        <w:t>the Office of the State Attorney during the period September 2019 to March 2020,</w:t>
      </w:r>
      <w:r w:rsidR="002978CF">
        <w:t xml:space="preserve"> and </w:t>
      </w:r>
      <w:r w:rsidR="002978CF" w:rsidRPr="00896B4E">
        <w:t>as well as consultation with National Economic Development and Labour Council (NEDLAC) on the Bill,</w:t>
      </w:r>
      <w:r w:rsidR="006A7560" w:rsidRPr="00896B4E">
        <w:t xml:space="preserve"> </w:t>
      </w:r>
      <w:r w:rsidR="002978CF" w:rsidRPr="00896B4E">
        <w:t>which took about three months</w:t>
      </w:r>
      <w:r w:rsidR="00F2041C" w:rsidRPr="00896B4E">
        <w:t xml:space="preserve"> starting from 5 December 2019 till 14 March 2020</w:t>
      </w:r>
      <w:r w:rsidR="002978CF">
        <w:t>.</w:t>
      </w:r>
      <w:r w:rsidR="00F2041C">
        <w:t xml:space="preserve"> </w:t>
      </w:r>
      <w:r w:rsidR="00F2041C" w:rsidRPr="00896B4E">
        <w:t xml:space="preserve">Consequently, the anticipated legal </w:t>
      </w:r>
      <w:r w:rsidR="00896B4E" w:rsidRPr="00896B4E">
        <w:t>advice</w:t>
      </w:r>
      <w:r w:rsidR="00F2041C" w:rsidRPr="00896B4E">
        <w:t xml:space="preserve"> from the NEDLAC outcome was delayed thereof</w:t>
      </w:r>
      <w:r w:rsidR="00F2041C">
        <w:t>.</w:t>
      </w:r>
      <w:r w:rsidR="002978CF">
        <w:t xml:space="preserve"> T</w:t>
      </w:r>
      <w:r w:rsidR="006A7560">
        <w:t xml:space="preserve">he </w:t>
      </w:r>
      <w:r w:rsidR="00AF4CEE" w:rsidRPr="00AF4CEE">
        <w:t xml:space="preserve">funds were </w:t>
      </w:r>
      <w:r w:rsidR="006A7560">
        <w:t xml:space="preserve">then used </w:t>
      </w:r>
      <w:r w:rsidR="005B49A9">
        <w:t xml:space="preserve">by the </w:t>
      </w:r>
      <w:r w:rsidR="00896B4E">
        <w:t>Legal Services</w:t>
      </w:r>
      <w:r w:rsidR="005B49A9">
        <w:t xml:space="preserve"> </w:t>
      </w:r>
      <w:r w:rsidR="00AF4CEE" w:rsidRPr="00AF4CEE">
        <w:t>to augment the over</w:t>
      </w:r>
      <w:r w:rsidR="00AF4CEE">
        <w:t>-</w:t>
      </w:r>
      <w:r w:rsidR="00AF4CEE" w:rsidRPr="00AF4CEE">
        <w:t xml:space="preserve">spending in the area of </w:t>
      </w:r>
      <w:r w:rsidR="00AF4CEE" w:rsidRPr="00AF4CEE">
        <w:lastRenderedPageBreak/>
        <w:t>legal costs recoverable by the Office of the State Attorney</w:t>
      </w:r>
      <w:r w:rsidR="005B49A9">
        <w:t xml:space="preserve">. These are the payments made and recoverable by State Attorney from the DPWI </w:t>
      </w:r>
      <w:r w:rsidR="00AF4CEE">
        <w:t xml:space="preserve">against payments made to advocates and other service providers involved in various litigious </w:t>
      </w:r>
      <w:r w:rsidR="00AB18B5">
        <w:t xml:space="preserve">and non-litigious </w:t>
      </w:r>
      <w:r w:rsidR="00AF4CEE">
        <w:t xml:space="preserve">matters for and against the </w:t>
      </w:r>
      <w:r w:rsidR="006A7560">
        <w:t xml:space="preserve">(DPWI). </w:t>
      </w:r>
      <w:r w:rsidR="00AF4CEE" w:rsidRPr="00AF4CEE">
        <w:t xml:space="preserve">  </w:t>
      </w:r>
    </w:p>
    <w:p w:rsidR="00DB57F1" w:rsidRDefault="00E361B2" w:rsidP="00DB57F1">
      <w:pPr>
        <w:pStyle w:val="BodyText"/>
        <w:numPr>
          <w:ilvl w:val="0"/>
          <w:numId w:val="6"/>
        </w:numPr>
        <w:ind w:hanging="720"/>
      </w:pPr>
      <w:r>
        <w:t>No programme</w:t>
      </w:r>
      <w:r w:rsidR="00260C80">
        <w:t>s</w:t>
      </w:r>
      <w:r>
        <w:t xml:space="preserve"> </w:t>
      </w:r>
      <w:r w:rsidR="00260C80">
        <w:t>were</w:t>
      </w:r>
      <w:r>
        <w:t xml:space="preserve"> affected by the virement of funds from Programme 4 to Programme 1, as the adjusted budget was declared after a review of the goods and services during the financial year. </w:t>
      </w:r>
    </w:p>
    <w:p w:rsidR="00DB57F1" w:rsidRDefault="006A7560" w:rsidP="00DB57F1">
      <w:pPr>
        <w:pStyle w:val="BodyText"/>
        <w:numPr>
          <w:ilvl w:val="0"/>
          <w:numId w:val="6"/>
        </w:numPr>
        <w:ind w:hanging="720"/>
      </w:pPr>
      <w:r>
        <w:t>The</w:t>
      </w:r>
      <w:r w:rsidR="005B49A9">
        <w:t>re was only one</w:t>
      </w:r>
      <w:r>
        <w:t xml:space="preserve"> claim received </w:t>
      </w:r>
      <w:r w:rsidR="005D5184">
        <w:t xml:space="preserve">from the Office of the State Attorney </w:t>
      </w:r>
      <w:r>
        <w:t xml:space="preserve">with specific reference to legal </w:t>
      </w:r>
      <w:r w:rsidR="00E361B2">
        <w:t>advice</w:t>
      </w:r>
      <w:r>
        <w:t xml:space="preserve"> on the Expropriation Bill </w:t>
      </w:r>
      <w:r w:rsidR="005B49A9">
        <w:t xml:space="preserve">in the </w:t>
      </w:r>
      <w:r>
        <w:t>amount of R13</w:t>
      </w:r>
      <w:r w:rsidR="005B49A9">
        <w:t xml:space="preserve"> 110.00</w:t>
      </w:r>
      <w:r w:rsidR="005D5184">
        <w:t xml:space="preserve"> in respect of </w:t>
      </w:r>
      <w:r w:rsidR="005B49A9">
        <w:t>legal fees</w:t>
      </w:r>
      <w:r w:rsidR="005D5184">
        <w:t xml:space="preserve"> of </w:t>
      </w:r>
      <w:r w:rsidR="005B49A9">
        <w:t>Senior Counsel during the period September 2019 to March 2020</w:t>
      </w:r>
      <w:r w:rsidR="005D5184">
        <w:t xml:space="preserve"> and it was paid by the Department of Public Works &amp; Infrastructure. H</w:t>
      </w:r>
      <w:r w:rsidR="005B49A9">
        <w:t xml:space="preserve">owever, the balance of the amount </w:t>
      </w:r>
      <w:r w:rsidR="00896B4E">
        <w:t>adjusted</w:t>
      </w:r>
      <w:r w:rsidR="005B49A9">
        <w:t xml:space="preserve"> was used to defray the claims for legal costs paid by the Office of the State Attorney to advocates and other service providers involved in</w:t>
      </w:r>
      <w:r w:rsidR="005D5184">
        <w:t xml:space="preserve"> other</w:t>
      </w:r>
      <w:r w:rsidR="005B49A9">
        <w:t xml:space="preserve"> litigious and non-litigious matters for and against the DPWI</w:t>
      </w:r>
      <w:r w:rsidR="00B13B28">
        <w:t xml:space="preserve"> as follows:</w:t>
      </w:r>
    </w:p>
    <w:p w:rsidR="00DB57F1" w:rsidRPr="00DB57F1" w:rsidRDefault="00DB57F1" w:rsidP="00DB57F1">
      <w:pPr>
        <w:pStyle w:val="BodyText"/>
        <w:ind w:left="720"/>
      </w:pPr>
      <w:r w:rsidRPr="00DB57F1">
        <w:rPr>
          <w:rFonts w:cs="Arial"/>
          <w:b/>
          <w:sz w:val="18"/>
          <w:szCs w:val="18"/>
          <w:u w:val="single"/>
        </w:rPr>
        <w:t>BREAKDOWN COSTS OF LEGAL FEES PAID TO OFFICE OF STATE ATTORNEY</w:t>
      </w:r>
    </w:p>
    <w:p w:rsidR="00DB57F1" w:rsidRPr="00DB57F1" w:rsidRDefault="00DB57F1" w:rsidP="00DB57F1">
      <w:pPr>
        <w:tabs>
          <w:tab w:val="left" w:pos="2127"/>
        </w:tabs>
        <w:ind w:left="-426"/>
        <w:rPr>
          <w:rFonts w:cs="Arial"/>
          <w:b/>
          <w:sz w:val="18"/>
          <w:szCs w:val="18"/>
          <w:u w:val="single"/>
        </w:rPr>
      </w:pPr>
    </w:p>
    <w:tbl>
      <w:tblPr>
        <w:tblStyle w:val="TableGrid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1321"/>
        <w:gridCol w:w="1080"/>
        <w:gridCol w:w="1350"/>
        <w:gridCol w:w="990"/>
        <w:gridCol w:w="1710"/>
        <w:gridCol w:w="1170"/>
        <w:gridCol w:w="1080"/>
        <w:gridCol w:w="1241"/>
      </w:tblGrid>
      <w:tr w:rsidR="00DB57F1" w:rsidRPr="00DB57F1" w:rsidTr="00DB57F1">
        <w:tc>
          <w:tcPr>
            <w:tcW w:w="1321" w:type="dxa"/>
          </w:tcPr>
          <w:p w:rsidR="00DB57F1" w:rsidRPr="00DB57F1" w:rsidRDefault="00DB57F1" w:rsidP="00947ADC">
            <w:pPr>
              <w:tabs>
                <w:tab w:val="left" w:pos="2127"/>
                <w:tab w:val="left" w:pos="12255"/>
              </w:tabs>
              <w:rPr>
                <w:rFonts w:cs="Arial"/>
                <w:sz w:val="18"/>
                <w:szCs w:val="18"/>
                <w:u w:val="single"/>
              </w:rPr>
            </w:pPr>
            <w:r w:rsidRPr="00DB57F1">
              <w:rPr>
                <w:rFonts w:cs="Arial"/>
                <w:b/>
                <w:sz w:val="18"/>
                <w:szCs w:val="18"/>
              </w:rPr>
              <w:t xml:space="preserve">Advocate Fees   </w:t>
            </w:r>
          </w:p>
        </w:tc>
        <w:tc>
          <w:tcPr>
            <w:tcW w:w="1080" w:type="dxa"/>
          </w:tcPr>
          <w:p w:rsidR="00DB57F1" w:rsidRPr="00DB57F1" w:rsidRDefault="00DB57F1" w:rsidP="00947ADC">
            <w:pPr>
              <w:tabs>
                <w:tab w:val="left" w:pos="2127"/>
                <w:tab w:val="left" w:pos="12255"/>
              </w:tabs>
              <w:rPr>
                <w:rFonts w:cs="Arial"/>
                <w:sz w:val="18"/>
                <w:szCs w:val="18"/>
                <w:u w:val="single"/>
              </w:rPr>
            </w:pPr>
            <w:r w:rsidRPr="00DB57F1">
              <w:rPr>
                <w:rFonts w:cs="Arial"/>
                <w:b/>
                <w:sz w:val="18"/>
                <w:szCs w:val="18"/>
              </w:rPr>
              <w:t xml:space="preserve">Sheriff Fees   </w:t>
            </w:r>
          </w:p>
        </w:tc>
        <w:tc>
          <w:tcPr>
            <w:tcW w:w="1350" w:type="dxa"/>
          </w:tcPr>
          <w:p w:rsidR="00DB57F1" w:rsidRPr="00DB57F1" w:rsidRDefault="00DB57F1" w:rsidP="00947ADC">
            <w:pPr>
              <w:tabs>
                <w:tab w:val="left" w:pos="2127"/>
                <w:tab w:val="left" w:pos="12255"/>
              </w:tabs>
              <w:rPr>
                <w:rFonts w:cs="Arial"/>
                <w:sz w:val="18"/>
                <w:szCs w:val="18"/>
                <w:u w:val="single"/>
              </w:rPr>
            </w:pPr>
            <w:r w:rsidRPr="00DB57F1">
              <w:rPr>
                <w:rFonts w:cs="Arial"/>
                <w:b/>
                <w:sz w:val="18"/>
                <w:szCs w:val="18"/>
              </w:rPr>
              <w:t>Printing Services</w:t>
            </w:r>
          </w:p>
        </w:tc>
        <w:tc>
          <w:tcPr>
            <w:tcW w:w="990" w:type="dxa"/>
          </w:tcPr>
          <w:p w:rsidR="00DB57F1" w:rsidRPr="00DB57F1" w:rsidRDefault="00DB57F1" w:rsidP="00DB57F1">
            <w:pPr>
              <w:pStyle w:val="Heading1"/>
              <w:keepNext/>
              <w:numPr>
                <w:ilvl w:val="0"/>
                <w:numId w:val="7"/>
              </w:numPr>
              <w:tabs>
                <w:tab w:val="left" w:pos="2127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B57F1">
              <w:rPr>
                <w:rFonts w:ascii="Arial" w:hAnsi="Arial" w:cs="Arial"/>
                <w:sz w:val="18"/>
                <w:szCs w:val="18"/>
              </w:rPr>
              <w:t>Taxed Costs</w:t>
            </w:r>
            <w:r w:rsidRPr="00DB57F1">
              <w:rPr>
                <w:rFonts w:ascii="Arial" w:hAnsi="Arial" w:cs="Arial"/>
                <w:sz w:val="18"/>
                <w:szCs w:val="18"/>
              </w:rPr>
              <w:tab/>
            </w:r>
          </w:p>
          <w:p w:rsidR="00DB57F1" w:rsidRPr="00DB57F1" w:rsidRDefault="00DB57F1" w:rsidP="00DB57F1">
            <w:pPr>
              <w:pStyle w:val="Heading1"/>
              <w:keepNext/>
              <w:numPr>
                <w:ilvl w:val="0"/>
                <w:numId w:val="7"/>
              </w:numPr>
              <w:tabs>
                <w:tab w:val="left" w:pos="2127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B57F1">
              <w:rPr>
                <w:rFonts w:ascii="Arial" w:hAnsi="Arial" w:cs="Arial"/>
                <w:sz w:val="18"/>
                <w:szCs w:val="18"/>
              </w:rPr>
              <w:t>Taxed Costs</w:t>
            </w:r>
            <w:r w:rsidRPr="00DB57F1">
              <w:rPr>
                <w:rFonts w:ascii="Arial" w:hAnsi="Arial" w:cs="Arial"/>
                <w:sz w:val="18"/>
                <w:szCs w:val="18"/>
              </w:rPr>
              <w:tab/>
            </w:r>
          </w:p>
          <w:p w:rsidR="00DB57F1" w:rsidRPr="00DB57F1" w:rsidRDefault="00DB57F1" w:rsidP="00947ADC">
            <w:pPr>
              <w:tabs>
                <w:tab w:val="left" w:pos="2127"/>
                <w:tab w:val="left" w:pos="12255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1710" w:type="dxa"/>
          </w:tcPr>
          <w:p w:rsidR="00DB57F1" w:rsidRPr="00DB57F1" w:rsidRDefault="00DB57F1" w:rsidP="00947ADC">
            <w:pPr>
              <w:tabs>
                <w:tab w:val="left" w:pos="2127"/>
                <w:tab w:val="left" w:pos="12255"/>
              </w:tabs>
              <w:rPr>
                <w:rFonts w:cs="Arial"/>
                <w:sz w:val="18"/>
                <w:szCs w:val="18"/>
                <w:u w:val="single"/>
              </w:rPr>
            </w:pPr>
            <w:r w:rsidRPr="00DB57F1">
              <w:rPr>
                <w:rFonts w:cs="Arial"/>
                <w:b/>
                <w:sz w:val="18"/>
                <w:szCs w:val="18"/>
              </w:rPr>
              <w:t xml:space="preserve">Professional Technical  </w:t>
            </w:r>
          </w:p>
        </w:tc>
        <w:tc>
          <w:tcPr>
            <w:tcW w:w="1170" w:type="dxa"/>
          </w:tcPr>
          <w:p w:rsidR="00DB57F1" w:rsidRPr="00DB57F1" w:rsidRDefault="00DB57F1" w:rsidP="00947ADC">
            <w:pPr>
              <w:tabs>
                <w:tab w:val="left" w:pos="2127"/>
                <w:tab w:val="left" w:pos="12255"/>
              </w:tabs>
              <w:rPr>
                <w:rFonts w:cs="Arial"/>
                <w:sz w:val="18"/>
                <w:szCs w:val="18"/>
                <w:u w:val="single"/>
              </w:rPr>
            </w:pPr>
            <w:r w:rsidRPr="00DB57F1">
              <w:rPr>
                <w:rFonts w:cs="Arial"/>
                <w:b/>
                <w:sz w:val="18"/>
                <w:szCs w:val="18"/>
              </w:rPr>
              <w:t xml:space="preserve">Expert Deeds Fees         </w:t>
            </w:r>
          </w:p>
        </w:tc>
        <w:tc>
          <w:tcPr>
            <w:tcW w:w="1080" w:type="dxa"/>
          </w:tcPr>
          <w:p w:rsidR="00DB57F1" w:rsidRPr="00DB57F1" w:rsidRDefault="00DB57F1" w:rsidP="00947ADC">
            <w:pPr>
              <w:tabs>
                <w:tab w:val="left" w:pos="2127"/>
                <w:tab w:val="left" w:pos="12255"/>
              </w:tabs>
              <w:rPr>
                <w:rFonts w:cs="Arial"/>
                <w:sz w:val="18"/>
                <w:szCs w:val="18"/>
                <w:u w:val="single"/>
              </w:rPr>
            </w:pPr>
            <w:r w:rsidRPr="00DB57F1">
              <w:rPr>
                <w:rFonts w:cs="Arial"/>
                <w:b/>
                <w:sz w:val="18"/>
                <w:szCs w:val="18"/>
              </w:rPr>
              <w:t>Witness Fees</w:t>
            </w:r>
          </w:p>
        </w:tc>
        <w:tc>
          <w:tcPr>
            <w:tcW w:w="1241" w:type="dxa"/>
          </w:tcPr>
          <w:p w:rsidR="00DB57F1" w:rsidRPr="00DB57F1" w:rsidRDefault="00DB57F1" w:rsidP="00947ADC">
            <w:pPr>
              <w:tabs>
                <w:tab w:val="left" w:pos="2127"/>
                <w:tab w:val="left" w:pos="12255"/>
              </w:tabs>
              <w:rPr>
                <w:rFonts w:cs="Arial"/>
                <w:sz w:val="18"/>
                <w:szCs w:val="18"/>
                <w:u w:val="single"/>
              </w:rPr>
            </w:pPr>
            <w:r w:rsidRPr="00DB57F1">
              <w:rPr>
                <w:rFonts w:cs="Arial"/>
                <w:b/>
                <w:sz w:val="18"/>
                <w:szCs w:val="18"/>
              </w:rPr>
              <w:t>Tracing Services</w:t>
            </w:r>
          </w:p>
        </w:tc>
      </w:tr>
      <w:tr w:rsidR="00DB57F1" w:rsidRPr="00DB57F1" w:rsidTr="00DB57F1">
        <w:tc>
          <w:tcPr>
            <w:tcW w:w="1321" w:type="dxa"/>
          </w:tcPr>
          <w:p w:rsidR="00DB57F1" w:rsidRPr="00DB57F1" w:rsidRDefault="00DB57F1" w:rsidP="00947ADC">
            <w:pPr>
              <w:tabs>
                <w:tab w:val="left" w:pos="2127"/>
                <w:tab w:val="left" w:pos="12255"/>
              </w:tabs>
              <w:rPr>
                <w:rFonts w:cs="Arial"/>
                <w:sz w:val="18"/>
                <w:szCs w:val="18"/>
              </w:rPr>
            </w:pPr>
            <w:r w:rsidRPr="00DB57F1">
              <w:rPr>
                <w:rFonts w:cs="Arial"/>
                <w:sz w:val="18"/>
                <w:szCs w:val="18"/>
              </w:rPr>
              <w:t>R3 759 527.87</w:t>
            </w:r>
          </w:p>
        </w:tc>
        <w:tc>
          <w:tcPr>
            <w:tcW w:w="1080" w:type="dxa"/>
          </w:tcPr>
          <w:p w:rsidR="00DB57F1" w:rsidRPr="00DB57F1" w:rsidRDefault="00DB57F1" w:rsidP="00947ADC">
            <w:pPr>
              <w:tabs>
                <w:tab w:val="left" w:pos="2127"/>
                <w:tab w:val="left" w:pos="12255"/>
              </w:tabs>
              <w:rPr>
                <w:rFonts w:cs="Arial"/>
                <w:sz w:val="18"/>
                <w:szCs w:val="18"/>
              </w:rPr>
            </w:pPr>
            <w:r w:rsidRPr="00DB57F1">
              <w:rPr>
                <w:rFonts w:cs="Arial"/>
                <w:sz w:val="18"/>
                <w:szCs w:val="18"/>
              </w:rPr>
              <w:t xml:space="preserve">R3 089.05   </w:t>
            </w:r>
          </w:p>
        </w:tc>
        <w:tc>
          <w:tcPr>
            <w:tcW w:w="1350" w:type="dxa"/>
          </w:tcPr>
          <w:p w:rsidR="00DB57F1" w:rsidRPr="00DB57F1" w:rsidRDefault="00DB57F1" w:rsidP="00947ADC">
            <w:pPr>
              <w:tabs>
                <w:tab w:val="left" w:pos="2127"/>
                <w:tab w:val="left" w:pos="12255"/>
              </w:tabs>
              <w:rPr>
                <w:rFonts w:cs="Arial"/>
                <w:sz w:val="18"/>
                <w:szCs w:val="18"/>
              </w:rPr>
            </w:pPr>
            <w:r w:rsidRPr="00DB57F1">
              <w:rPr>
                <w:rFonts w:cs="Arial"/>
                <w:sz w:val="18"/>
                <w:szCs w:val="18"/>
              </w:rPr>
              <w:t>R11 600.84</w:t>
            </w:r>
          </w:p>
        </w:tc>
        <w:tc>
          <w:tcPr>
            <w:tcW w:w="990" w:type="dxa"/>
          </w:tcPr>
          <w:p w:rsidR="00DB57F1" w:rsidRPr="00DB57F1" w:rsidRDefault="00DB57F1" w:rsidP="00947ADC">
            <w:pPr>
              <w:tabs>
                <w:tab w:val="left" w:pos="2127"/>
                <w:tab w:val="left" w:pos="12255"/>
              </w:tabs>
              <w:rPr>
                <w:rFonts w:cs="Arial"/>
                <w:sz w:val="18"/>
                <w:szCs w:val="18"/>
              </w:rPr>
            </w:pPr>
            <w:r w:rsidRPr="00DB57F1">
              <w:rPr>
                <w:rFonts w:cs="Arial"/>
                <w:sz w:val="18"/>
                <w:szCs w:val="18"/>
              </w:rPr>
              <w:t xml:space="preserve">R131 190.64       </w:t>
            </w:r>
          </w:p>
        </w:tc>
        <w:tc>
          <w:tcPr>
            <w:tcW w:w="1710" w:type="dxa"/>
          </w:tcPr>
          <w:p w:rsidR="00DB57F1" w:rsidRPr="00DB57F1" w:rsidRDefault="00DB57F1" w:rsidP="00947ADC">
            <w:pPr>
              <w:tabs>
                <w:tab w:val="left" w:pos="2127"/>
                <w:tab w:val="left" w:pos="12255"/>
              </w:tabs>
              <w:rPr>
                <w:rFonts w:cs="Arial"/>
                <w:sz w:val="18"/>
                <w:szCs w:val="18"/>
              </w:rPr>
            </w:pPr>
            <w:r w:rsidRPr="00DB57F1">
              <w:rPr>
                <w:rFonts w:cs="Arial"/>
                <w:sz w:val="18"/>
                <w:szCs w:val="18"/>
              </w:rPr>
              <w:t>R 945 668.18</w:t>
            </w:r>
          </w:p>
        </w:tc>
        <w:tc>
          <w:tcPr>
            <w:tcW w:w="1170" w:type="dxa"/>
          </w:tcPr>
          <w:p w:rsidR="00DB57F1" w:rsidRPr="00DB57F1" w:rsidRDefault="00DB57F1" w:rsidP="00947ADC">
            <w:pPr>
              <w:tabs>
                <w:tab w:val="left" w:pos="2127"/>
                <w:tab w:val="left" w:pos="12255"/>
              </w:tabs>
              <w:rPr>
                <w:rFonts w:cs="Arial"/>
                <w:sz w:val="18"/>
                <w:szCs w:val="18"/>
              </w:rPr>
            </w:pPr>
            <w:r w:rsidRPr="00DB57F1">
              <w:rPr>
                <w:rFonts w:cs="Arial"/>
                <w:sz w:val="18"/>
                <w:szCs w:val="18"/>
              </w:rPr>
              <w:t xml:space="preserve">R15 842.00   </w:t>
            </w:r>
          </w:p>
        </w:tc>
        <w:tc>
          <w:tcPr>
            <w:tcW w:w="1080" w:type="dxa"/>
          </w:tcPr>
          <w:p w:rsidR="00DB57F1" w:rsidRPr="00DB57F1" w:rsidRDefault="00DB57F1" w:rsidP="00947ADC">
            <w:pPr>
              <w:tabs>
                <w:tab w:val="left" w:pos="2127"/>
                <w:tab w:val="left" w:pos="12255"/>
              </w:tabs>
              <w:rPr>
                <w:rFonts w:cs="Arial"/>
                <w:sz w:val="18"/>
                <w:szCs w:val="18"/>
              </w:rPr>
            </w:pPr>
            <w:r w:rsidRPr="00DB57F1">
              <w:rPr>
                <w:rFonts w:cs="Arial"/>
                <w:sz w:val="18"/>
                <w:szCs w:val="18"/>
              </w:rPr>
              <w:t xml:space="preserve">R16 240.06  </w:t>
            </w:r>
          </w:p>
        </w:tc>
        <w:tc>
          <w:tcPr>
            <w:tcW w:w="1241" w:type="dxa"/>
          </w:tcPr>
          <w:p w:rsidR="00DB57F1" w:rsidRPr="00DB57F1" w:rsidRDefault="00DB57F1" w:rsidP="00947ADC">
            <w:pPr>
              <w:tabs>
                <w:tab w:val="left" w:pos="2127"/>
                <w:tab w:val="left" w:pos="12255"/>
              </w:tabs>
              <w:ind w:left="-426"/>
              <w:rPr>
                <w:rFonts w:cs="Arial"/>
                <w:sz w:val="18"/>
                <w:szCs w:val="18"/>
              </w:rPr>
            </w:pPr>
            <w:r w:rsidRPr="00DB57F1">
              <w:rPr>
                <w:rFonts w:cs="Arial"/>
                <w:sz w:val="18"/>
                <w:szCs w:val="18"/>
              </w:rPr>
              <w:t>R4</w:t>
            </w:r>
            <w:r w:rsidRPr="00DB57F1">
              <w:rPr>
                <w:rFonts w:cs="Arial"/>
                <w:b/>
                <w:sz w:val="18"/>
                <w:szCs w:val="18"/>
              </w:rPr>
              <w:t xml:space="preserve">     </w:t>
            </w:r>
            <w:r w:rsidRPr="00DB57F1">
              <w:rPr>
                <w:rFonts w:cs="Arial"/>
                <w:sz w:val="18"/>
                <w:szCs w:val="18"/>
              </w:rPr>
              <w:t>R400.00</w:t>
            </w:r>
          </w:p>
          <w:p w:rsidR="00DB57F1" w:rsidRPr="00DB57F1" w:rsidRDefault="00DB57F1" w:rsidP="00947ADC">
            <w:pPr>
              <w:tabs>
                <w:tab w:val="left" w:pos="2127"/>
                <w:tab w:val="left" w:pos="12255"/>
              </w:tabs>
              <w:ind w:left="-426"/>
              <w:rPr>
                <w:rFonts w:cs="Arial"/>
                <w:sz w:val="18"/>
                <w:szCs w:val="18"/>
              </w:rPr>
            </w:pPr>
          </w:p>
          <w:p w:rsidR="00DB57F1" w:rsidRPr="00DB57F1" w:rsidRDefault="00DB57F1" w:rsidP="00947ADC">
            <w:pPr>
              <w:tabs>
                <w:tab w:val="left" w:pos="2127"/>
                <w:tab w:val="left" w:pos="12255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DB57F1" w:rsidRPr="00DB57F1" w:rsidRDefault="00DB57F1" w:rsidP="00DB57F1">
      <w:pPr>
        <w:tabs>
          <w:tab w:val="left" w:pos="2127"/>
          <w:tab w:val="left" w:pos="12255"/>
        </w:tabs>
        <w:ind w:left="-426"/>
        <w:rPr>
          <w:rFonts w:cs="Arial"/>
          <w:sz w:val="18"/>
          <w:szCs w:val="18"/>
        </w:rPr>
      </w:pPr>
    </w:p>
    <w:p w:rsidR="00DB57F1" w:rsidRPr="00DB57F1" w:rsidRDefault="00DB57F1" w:rsidP="00DB57F1">
      <w:pPr>
        <w:tabs>
          <w:tab w:val="left" w:pos="2127"/>
          <w:tab w:val="left" w:pos="12255"/>
        </w:tabs>
        <w:ind w:left="-426"/>
        <w:rPr>
          <w:rFonts w:cs="Arial"/>
          <w:sz w:val="18"/>
          <w:szCs w:val="18"/>
          <w:u w:val="single"/>
        </w:rPr>
      </w:pPr>
      <w:r w:rsidRPr="00DB57F1">
        <w:rPr>
          <w:rFonts w:cs="Arial"/>
          <w:b/>
          <w:sz w:val="18"/>
          <w:szCs w:val="18"/>
        </w:rPr>
        <w:t>Total of Legal Fees for period October, November 2019 and February 2020:</w:t>
      </w:r>
      <w:r w:rsidRPr="00DB57F1">
        <w:rPr>
          <w:rFonts w:cs="Arial"/>
          <w:sz w:val="18"/>
          <w:szCs w:val="18"/>
        </w:rPr>
        <w:t xml:space="preserve"> </w:t>
      </w:r>
      <w:r w:rsidRPr="00DB57F1">
        <w:rPr>
          <w:rFonts w:cs="Arial"/>
          <w:sz w:val="18"/>
          <w:szCs w:val="18"/>
          <w:u w:val="single"/>
        </w:rPr>
        <w:t>R4 883 558.64</w:t>
      </w:r>
    </w:p>
    <w:p w:rsidR="00DB57F1" w:rsidRPr="00DB57F1" w:rsidRDefault="00DB57F1" w:rsidP="00DB57F1">
      <w:pPr>
        <w:tabs>
          <w:tab w:val="left" w:pos="2127"/>
          <w:tab w:val="left" w:pos="12255"/>
        </w:tabs>
        <w:ind w:left="-426"/>
        <w:rPr>
          <w:rFonts w:cs="Arial"/>
          <w:sz w:val="18"/>
          <w:szCs w:val="18"/>
        </w:rPr>
      </w:pPr>
    </w:p>
    <w:p w:rsidR="00B260DD" w:rsidRPr="00DB57F1" w:rsidRDefault="00B260DD" w:rsidP="00DB57F1">
      <w:pPr>
        <w:pStyle w:val="BodyText"/>
        <w:ind w:left="720"/>
        <w:rPr>
          <w:sz w:val="18"/>
          <w:szCs w:val="18"/>
        </w:rPr>
      </w:pPr>
    </w:p>
    <w:p w:rsidR="00E836DA" w:rsidRPr="00DB57F1" w:rsidRDefault="00E836DA" w:rsidP="00E836DA">
      <w:pPr>
        <w:pStyle w:val="BodyText"/>
        <w:ind w:left="720"/>
        <w:rPr>
          <w:sz w:val="18"/>
          <w:szCs w:val="18"/>
        </w:rPr>
      </w:pPr>
    </w:p>
    <w:p w:rsidR="00901974" w:rsidRPr="00DB57F1" w:rsidRDefault="00901974" w:rsidP="00901974">
      <w:pPr>
        <w:pStyle w:val="BodyText"/>
        <w:ind w:left="720"/>
        <w:rPr>
          <w:sz w:val="18"/>
          <w:szCs w:val="18"/>
        </w:rPr>
      </w:pPr>
    </w:p>
    <w:p w:rsidR="00901974" w:rsidRDefault="00901974" w:rsidP="00901974">
      <w:pPr>
        <w:pStyle w:val="BodyText"/>
        <w:ind w:left="720"/>
      </w:pPr>
    </w:p>
    <w:p w:rsidR="00B260DD" w:rsidRDefault="00B260DD" w:rsidP="00B260DD">
      <w:pPr>
        <w:pStyle w:val="BodyText"/>
        <w:ind w:left="720"/>
      </w:pPr>
    </w:p>
    <w:p w:rsidR="00AF4CEE" w:rsidRPr="00AF4CEE" w:rsidRDefault="005B49A9" w:rsidP="00B260DD">
      <w:pPr>
        <w:pStyle w:val="BodyText"/>
        <w:ind w:left="720"/>
      </w:pPr>
      <w:r>
        <w:t xml:space="preserve">   </w:t>
      </w:r>
      <w:r w:rsidR="006A7560">
        <w:t xml:space="preserve">  </w:t>
      </w:r>
      <w:r w:rsidR="00AF4CEE">
        <w:t xml:space="preserve">   </w:t>
      </w:r>
      <w:r w:rsidR="00AF4CEE" w:rsidRPr="00AF4CEE">
        <w:t xml:space="preserve"> </w:t>
      </w:r>
    </w:p>
    <w:p w:rsidR="00CE58C6" w:rsidRDefault="00CE58C6" w:rsidP="00F44106">
      <w:pPr>
        <w:spacing w:line="360" w:lineRule="auto"/>
        <w:rPr>
          <w:b/>
          <w:bCs/>
          <w:sz w:val="24"/>
          <w:szCs w:val="24"/>
        </w:rPr>
      </w:pPr>
    </w:p>
    <w:p w:rsidR="00C61AA2" w:rsidRDefault="00C61AA2" w:rsidP="00C61AA2">
      <w:pPr>
        <w:spacing w:line="360" w:lineRule="auto"/>
        <w:rPr>
          <w:sz w:val="24"/>
          <w:szCs w:val="24"/>
          <w:lang w:val="en-US"/>
        </w:rPr>
      </w:pPr>
    </w:p>
    <w:p w:rsidR="00CE58C6" w:rsidRPr="00CE58C6" w:rsidRDefault="00CE58C6" w:rsidP="00F44106">
      <w:pPr>
        <w:spacing w:line="360" w:lineRule="auto"/>
        <w:rPr>
          <w:bCs/>
          <w:sz w:val="24"/>
          <w:szCs w:val="24"/>
        </w:rPr>
      </w:pPr>
    </w:p>
    <w:p w:rsidR="00CE58C6" w:rsidRDefault="00CE58C6" w:rsidP="00F44106">
      <w:pPr>
        <w:spacing w:line="360" w:lineRule="auto"/>
        <w:rPr>
          <w:bCs/>
          <w:sz w:val="24"/>
          <w:szCs w:val="24"/>
        </w:rPr>
      </w:pPr>
    </w:p>
    <w:p w:rsidR="00CE58C6" w:rsidRPr="00CE58C6" w:rsidRDefault="00CE58C6" w:rsidP="00F44106">
      <w:pPr>
        <w:spacing w:line="360" w:lineRule="auto"/>
        <w:rPr>
          <w:bCs/>
          <w:sz w:val="24"/>
          <w:szCs w:val="24"/>
        </w:rPr>
      </w:pPr>
    </w:p>
    <w:sectPr w:rsidR="00CE58C6" w:rsidRPr="00CE58C6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5A6" w:rsidRDefault="002915A6" w:rsidP="00B01072">
      <w:r>
        <w:separator/>
      </w:r>
    </w:p>
  </w:endnote>
  <w:endnote w:type="continuationSeparator" w:id="0">
    <w:p w:rsidR="002915A6" w:rsidRDefault="002915A6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D33" w:rsidRPr="000B4F40" w:rsidRDefault="00282D33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NATIONAL ASSEMBLY Q</w:t>
    </w:r>
    <w:r w:rsidR="0031241E">
      <w:rPr>
        <w:rFonts w:eastAsiaTheme="majorEastAsia" w:cs="Arial"/>
        <w:b/>
        <w:sz w:val="18"/>
        <w:szCs w:val="18"/>
      </w:rPr>
      <w:t>UESTION NO. 1267</w:t>
    </w:r>
    <w:r>
      <w:rPr>
        <w:rFonts w:eastAsiaTheme="majorEastAsia" w:cs="Arial"/>
        <w:b/>
        <w:sz w:val="18"/>
        <w:szCs w:val="18"/>
      </w:rPr>
      <w:t xml:space="preserve"> (Written</w:t>
    </w:r>
    <w:r w:rsidRPr="00A86DF9">
      <w:rPr>
        <w:rFonts w:eastAsiaTheme="majorEastAsia" w:cs="Arial"/>
        <w:b/>
        <w:sz w:val="18"/>
        <w:szCs w:val="18"/>
      </w:rPr>
      <w:t>)</w:t>
    </w:r>
    <w:r>
      <w:rPr>
        <w:rFonts w:eastAsiaTheme="majorEastAsia" w:cs="Arial"/>
        <w:b/>
        <w:sz w:val="18"/>
        <w:szCs w:val="18"/>
      </w:rPr>
      <w:t xml:space="preserve"> 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="0031241E" w:rsidRPr="0031241E">
      <w:rPr>
        <w:rFonts w:eastAsia="Calibri" w:cs="Arial"/>
        <w:b/>
        <w:bCs/>
        <w:sz w:val="18"/>
        <w:szCs w:val="18"/>
        <w:lang w:val="af-ZA" w:eastAsia="en-US"/>
      </w:rPr>
      <w:t xml:space="preserve">Ms S J Graham (DA)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C01E3D" w:rsidRPr="00C01E3D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282D33" w:rsidRPr="000B4F40" w:rsidRDefault="00282D33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5A6" w:rsidRDefault="002915A6" w:rsidP="00B01072">
      <w:r>
        <w:separator/>
      </w:r>
    </w:p>
  </w:footnote>
  <w:footnote w:type="continuationSeparator" w:id="0">
    <w:p w:rsidR="002915A6" w:rsidRDefault="002915A6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D33" w:rsidRDefault="00282D33">
    <w:pPr>
      <w:pStyle w:val="Header"/>
      <w:jc w:val="right"/>
    </w:pPr>
  </w:p>
  <w:p w:rsidR="00282D33" w:rsidRDefault="00282D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51F6"/>
    <w:multiLevelType w:val="hybridMultilevel"/>
    <w:tmpl w:val="B89AA59C"/>
    <w:lvl w:ilvl="0" w:tplc="488EE0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6F66"/>
    <w:multiLevelType w:val="hybridMultilevel"/>
    <w:tmpl w:val="7C322982"/>
    <w:lvl w:ilvl="0" w:tplc="1302797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 w15:restartNumberingAfterBreak="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062A"/>
    <w:rsid w:val="00000E4E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244DC"/>
    <w:rsid w:val="00026843"/>
    <w:rsid w:val="00041696"/>
    <w:rsid w:val="00045D9F"/>
    <w:rsid w:val="00045EB3"/>
    <w:rsid w:val="000528E1"/>
    <w:rsid w:val="00052C66"/>
    <w:rsid w:val="00053264"/>
    <w:rsid w:val="00054265"/>
    <w:rsid w:val="000574C9"/>
    <w:rsid w:val="00060ABB"/>
    <w:rsid w:val="00063548"/>
    <w:rsid w:val="000656CA"/>
    <w:rsid w:val="00066E2A"/>
    <w:rsid w:val="000709FD"/>
    <w:rsid w:val="00070C85"/>
    <w:rsid w:val="00074F49"/>
    <w:rsid w:val="00076BCC"/>
    <w:rsid w:val="00086349"/>
    <w:rsid w:val="00093124"/>
    <w:rsid w:val="00095FFF"/>
    <w:rsid w:val="0009751E"/>
    <w:rsid w:val="000A025B"/>
    <w:rsid w:val="000A08C0"/>
    <w:rsid w:val="000A0AF6"/>
    <w:rsid w:val="000A4773"/>
    <w:rsid w:val="000A60B2"/>
    <w:rsid w:val="000A6946"/>
    <w:rsid w:val="000B1923"/>
    <w:rsid w:val="000B19CD"/>
    <w:rsid w:val="000B4241"/>
    <w:rsid w:val="000B4F40"/>
    <w:rsid w:val="000C5FC2"/>
    <w:rsid w:val="000C70FB"/>
    <w:rsid w:val="000D3F7C"/>
    <w:rsid w:val="000D41E1"/>
    <w:rsid w:val="000D5A5D"/>
    <w:rsid w:val="000D600B"/>
    <w:rsid w:val="000E0C57"/>
    <w:rsid w:val="000E2889"/>
    <w:rsid w:val="000F0B2D"/>
    <w:rsid w:val="000F4F82"/>
    <w:rsid w:val="000F590B"/>
    <w:rsid w:val="00101914"/>
    <w:rsid w:val="00106D04"/>
    <w:rsid w:val="00107822"/>
    <w:rsid w:val="00110781"/>
    <w:rsid w:val="0011110A"/>
    <w:rsid w:val="00111AB1"/>
    <w:rsid w:val="001144C9"/>
    <w:rsid w:val="00116CCB"/>
    <w:rsid w:val="00123E02"/>
    <w:rsid w:val="00123EEC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45B94"/>
    <w:rsid w:val="001467DC"/>
    <w:rsid w:val="001529A0"/>
    <w:rsid w:val="00152C01"/>
    <w:rsid w:val="00155F06"/>
    <w:rsid w:val="00162A0F"/>
    <w:rsid w:val="00163E34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9162A"/>
    <w:rsid w:val="00197DB0"/>
    <w:rsid w:val="001A22C6"/>
    <w:rsid w:val="001A26A0"/>
    <w:rsid w:val="001A52A1"/>
    <w:rsid w:val="001B177D"/>
    <w:rsid w:val="001C2A53"/>
    <w:rsid w:val="001C2B34"/>
    <w:rsid w:val="001C3FDF"/>
    <w:rsid w:val="001C4269"/>
    <w:rsid w:val="001C602F"/>
    <w:rsid w:val="001C6CA1"/>
    <w:rsid w:val="001D4459"/>
    <w:rsid w:val="001E486F"/>
    <w:rsid w:val="001F0D11"/>
    <w:rsid w:val="001F1F16"/>
    <w:rsid w:val="001F3548"/>
    <w:rsid w:val="001F57DE"/>
    <w:rsid w:val="001F698C"/>
    <w:rsid w:val="00203E0F"/>
    <w:rsid w:val="00206C11"/>
    <w:rsid w:val="00206DB6"/>
    <w:rsid w:val="00211C78"/>
    <w:rsid w:val="002229B7"/>
    <w:rsid w:val="00224229"/>
    <w:rsid w:val="002265CB"/>
    <w:rsid w:val="0023195F"/>
    <w:rsid w:val="00232D48"/>
    <w:rsid w:val="0023431F"/>
    <w:rsid w:val="00243357"/>
    <w:rsid w:val="002458D7"/>
    <w:rsid w:val="00257D56"/>
    <w:rsid w:val="00260C80"/>
    <w:rsid w:val="00262CC0"/>
    <w:rsid w:val="00272DDA"/>
    <w:rsid w:val="00275921"/>
    <w:rsid w:val="00275F2F"/>
    <w:rsid w:val="00281B8E"/>
    <w:rsid w:val="00282D33"/>
    <w:rsid w:val="002837A2"/>
    <w:rsid w:val="002915A6"/>
    <w:rsid w:val="0029164F"/>
    <w:rsid w:val="00291BC2"/>
    <w:rsid w:val="0029301E"/>
    <w:rsid w:val="00294275"/>
    <w:rsid w:val="002963F7"/>
    <w:rsid w:val="00296C6F"/>
    <w:rsid w:val="002978CF"/>
    <w:rsid w:val="002A3DCF"/>
    <w:rsid w:val="002A5D13"/>
    <w:rsid w:val="002A73B9"/>
    <w:rsid w:val="002B2F32"/>
    <w:rsid w:val="002B4AFC"/>
    <w:rsid w:val="002C175C"/>
    <w:rsid w:val="002C603A"/>
    <w:rsid w:val="002C7394"/>
    <w:rsid w:val="002E6B86"/>
    <w:rsid w:val="002F0F2F"/>
    <w:rsid w:val="00302C99"/>
    <w:rsid w:val="003074FB"/>
    <w:rsid w:val="00307BEC"/>
    <w:rsid w:val="0031241E"/>
    <w:rsid w:val="003152A5"/>
    <w:rsid w:val="00315B8D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51A07"/>
    <w:rsid w:val="00351D61"/>
    <w:rsid w:val="00352709"/>
    <w:rsid w:val="00352AC2"/>
    <w:rsid w:val="00353CDD"/>
    <w:rsid w:val="0035503F"/>
    <w:rsid w:val="00363E6B"/>
    <w:rsid w:val="00364767"/>
    <w:rsid w:val="003650A6"/>
    <w:rsid w:val="0037114C"/>
    <w:rsid w:val="003718A9"/>
    <w:rsid w:val="00371E01"/>
    <w:rsid w:val="003731CC"/>
    <w:rsid w:val="00380472"/>
    <w:rsid w:val="00382C94"/>
    <w:rsid w:val="003839B7"/>
    <w:rsid w:val="00385CC5"/>
    <w:rsid w:val="003930E2"/>
    <w:rsid w:val="00396314"/>
    <w:rsid w:val="003A0AD7"/>
    <w:rsid w:val="003A3BDF"/>
    <w:rsid w:val="003A3C9B"/>
    <w:rsid w:val="003C090A"/>
    <w:rsid w:val="003C2A56"/>
    <w:rsid w:val="003C5D32"/>
    <w:rsid w:val="003D2560"/>
    <w:rsid w:val="003D262F"/>
    <w:rsid w:val="003D3567"/>
    <w:rsid w:val="003D3867"/>
    <w:rsid w:val="003E00A0"/>
    <w:rsid w:val="003E2910"/>
    <w:rsid w:val="003E5694"/>
    <w:rsid w:val="003F3ABB"/>
    <w:rsid w:val="003F4B34"/>
    <w:rsid w:val="003F628A"/>
    <w:rsid w:val="003F6C7B"/>
    <w:rsid w:val="004079CA"/>
    <w:rsid w:val="00413C62"/>
    <w:rsid w:val="00423A60"/>
    <w:rsid w:val="00423D05"/>
    <w:rsid w:val="00424B38"/>
    <w:rsid w:val="004322D2"/>
    <w:rsid w:val="00432C4E"/>
    <w:rsid w:val="0043383C"/>
    <w:rsid w:val="004342FE"/>
    <w:rsid w:val="00435691"/>
    <w:rsid w:val="004365E9"/>
    <w:rsid w:val="004400AD"/>
    <w:rsid w:val="0044149F"/>
    <w:rsid w:val="004422F9"/>
    <w:rsid w:val="00446AA2"/>
    <w:rsid w:val="00451A52"/>
    <w:rsid w:val="004532AE"/>
    <w:rsid w:val="00453445"/>
    <w:rsid w:val="00453F70"/>
    <w:rsid w:val="004629ED"/>
    <w:rsid w:val="00463B8B"/>
    <w:rsid w:val="00465041"/>
    <w:rsid w:val="00465F06"/>
    <w:rsid w:val="00466022"/>
    <w:rsid w:val="004739D7"/>
    <w:rsid w:val="00481072"/>
    <w:rsid w:val="004868AF"/>
    <w:rsid w:val="0049199E"/>
    <w:rsid w:val="00493FB3"/>
    <w:rsid w:val="00495B55"/>
    <w:rsid w:val="0049710C"/>
    <w:rsid w:val="004A1E4C"/>
    <w:rsid w:val="004A2730"/>
    <w:rsid w:val="004A4F90"/>
    <w:rsid w:val="004B30D1"/>
    <w:rsid w:val="004B405B"/>
    <w:rsid w:val="004B4593"/>
    <w:rsid w:val="004B74FC"/>
    <w:rsid w:val="004B7D65"/>
    <w:rsid w:val="004B7D74"/>
    <w:rsid w:val="004B7E4A"/>
    <w:rsid w:val="004C1C50"/>
    <w:rsid w:val="004C2610"/>
    <w:rsid w:val="004C3C1E"/>
    <w:rsid w:val="004C5597"/>
    <w:rsid w:val="004C610B"/>
    <w:rsid w:val="004C6EB7"/>
    <w:rsid w:val="004D1573"/>
    <w:rsid w:val="004D2249"/>
    <w:rsid w:val="004D2F24"/>
    <w:rsid w:val="004D48E8"/>
    <w:rsid w:val="004E0E07"/>
    <w:rsid w:val="004E27A5"/>
    <w:rsid w:val="004E599C"/>
    <w:rsid w:val="004F329B"/>
    <w:rsid w:val="004F4F0B"/>
    <w:rsid w:val="004F61F7"/>
    <w:rsid w:val="00513712"/>
    <w:rsid w:val="00514D7E"/>
    <w:rsid w:val="005208EA"/>
    <w:rsid w:val="0052239F"/>
    <w:rsid w:val="00531D8A"/>
    <w:rsid w:val="005330F9"/>
    <w:rsid w:val="0053382B"/>
    <w:rsid w:val="00540DA6"/>
    <w:rsid w:val="005449EC"/>
    <w:rsid w:val="005455F2"/>
    <w:rsid w:val="00550A0F"/>
    <w:rsid w:val="005540EB"/>
    <w:rsid w:val="00560E8F"/>
    <w:rsid w:val="00561E44"/>
    <w:rsid w:val="0056311D"/>
    <w:rsid w:val="00563D73"/>
    <w:rsid w:val="00574AE0"/>
    <w:rsid w:val="0057746F"/>
    <w:rsid w:val="00591850"/>
    <w:rsid w:val="005940D1"/>
    <w:rsid w:val="005A2CE6"/>
    <w:rsid w:val="005A7E21"/>
    <w:rsid w:val="005B1E2B"/>
    <w:rsid w:val="005B286F"/>
    <w:rsid w:val="005B2A4B"/>
    <w:rsid w:val="005B2D19"/>
    <w:rsid w:val="005B49A9"/>
    <w:rsid w:val="005C570C"/>
    <w:rsid w:val="005C5955"/>
    <w:rsid w:val="005C699E"/>
    <w:rsid w:val="005D0C77"/>
    <w:rsid w:val="005D1762"/>
    <w:rsid w:val="005D2A5D"/>
    <w:rsid w:val="005D5184"/>
    <w:rsid w:val="005D5B0B"/>
    <w:rsid w:val="005D718C"/>
    <w:rsid w:val="005D7A90"/>
    <w:rsid w:val="005E2D86"/>
    <w:rsid w:val="005E535A"/>
    <w:rsid w:val="005E6AF1"/>
    <w:rsid w:val="005E71DB"/>
    <w:rsid w:val="005F13A3"/>
    <w:rsid w:val="005F1CFF"/>
    <w:rsid w:val="005F206A"/>
    <w:rsid w:val="005F27D3"/>
    <w:rsid w:val="005F35F3"/>
    <w:rsid w:val="005F4C62"/>
    <w:rsid w:val="0060047A"/>
    <w:rsid w:val="00601F53"/>
    <w:rsid w:val="00605E8F"/>
    <w:rsid w:val="00606E21"/>
    <w:rsid w:val="00610C7C"/>
    <w:rsid w:val="00610D88"/>
    <w:rsid w:val="00612374"/>
    <w:rsid w:val="00616097"/>
    <w:rsid w:val="006212C1"/>
    <w:rsid w:val="00623007"/>
    <w:rsid w:val="00623053"/>
    <w:rsid w:val="00624A4D"/>
    <w:rsid w:val="00625573"/>
    <w:rsid w:val="00626B4E"/>
    <w:rsid w:val="00627CC1"/>
    <w:rsid w:val="00631F64"/>
    <w:rsid w:val="00632C03"/>
    <w:rsid w:val="006343C2"/>
    <w:rsid w:val="00641E3A"/>
    <w:rsid w:val="006462D7"/>
    <w:rsid w:val="006576EF"/>
    <w:rsid w:val="00663625"/>
    <w:rsid w:val="00664FF5"/>
    <w:rsid w:val="00670BA5"/>
    <w:rsid w:val="00675570"/>
    <w:rsid w:val="006759CD"/>
    <w:rsid w:val="00683024"/>
    <w:rsid w:val="00684BB6"/>
    <w:rsid w:val="00685646"/>
    <w:rsid w:val="00691311"/>
    <w:rsid w:val="00693963"/>
    <w:rsid w:val="00694DF7"/>
    <w:rsid w:val="00694F4F"/>
    <w:rsid w:val="006A027A"/>
    <w:rsid w:val="006A05C9"/>
    <w:rsid w:val="006A7560"/>
    <w:rsid w:val="006A7562"/>
    <w:rsid w:val="006B79CB"/>
    <w:rsid w:val="006B7A24"/>
    <w:rsid w:val="006C1F95"/>
    <w:rsid w:val="006C35E7"/>
    <w:rsid w:val="006C3E5B"/>
    <w:rsid w:val="006D0841"/>
    <w:rsid w:val="006D1A51"/>
    <w:rsid w:val="006D4597"/>
    <w:rsid w:val="006D4C8A"/>
    <w:rsid w:val="006E1066"/>
    <w:rsid w:val="006E54EA"/>
    <w:rsid w:val="006F2930"/>
    <w:rsid w:val="006F36F8"/>
    <w:rsid w:val="006F6CCD"/>
    <w:rsid w:val="00704245"/>
    <w:rsid w:val="00705DD0"/>
    <w:rsid w:val="00713D62"/>
    <w:rsid w:val="007144AF"/>
    <w:rsid w:val="007167C4"/>
    <w:rsid w:val="00720368"/>
    <w:rsid w:val="00725FBA"/>
    <w:rsid w:val="007262F8"/>
    <w:rsid w:val="0073270F"/>
    <w:rsid w:val="00737327"/>
    <w:rsid w:val="00741804"/>
    <w:rsid w:val="00741EE1"/>
    <w:rsid w:val="007422B3"/>
    <w:rsid w:val="00760875"/>
    <w:rsid w:val="00764E90"/>
    <w:rsid w:val="0077480B"/>
    <w:rsid w:val="00781562"/>
    <w:rsid w:val="00790A4C"/>
    <w:rsid w:val="00792A3E"/>
    <w:rsid w:val="00794233"/>
    <w:rsid w:val="007950DA"/>
    <w:rsid w:val="00795939"/>
    <w:rsid w:val="007965C6"/>
    <w:rsid w:val="007A03D5"/>
    <w:rsid w:val="007A7318"/>
    <w:rsid w:val="007C4AFA"/>
    <w:rsid w:val="007D1966"/>
    <w:rsid w:val="007D7D66"/>
    <w:rsid w:val="007E0072"/>
    <w:rsid w:val="007E3B7C"/>
    <w:rsid w:val="007E40F1"/>
    <w:rsid w:val="007E4E3E"/>
    <w:rsid w:val="007E63B3"/>
    <w:rsid w:val="007F02A7"/>
    <w:rsid w:val="007F2807"/>
    <w:rsid w:val="00801FEF"/>
    <w:rsid w:val="00802784"/>
    <w:rsid w:val="008039CD"/>
    <w:rsid w:val="00803A16"/>
    <w:rsid w:val="00811B13"/>
    <w:rsid w:val="008232E5"/>
    <w:rsid w:val="00836EA6"/>
    <w:rsid w:val="0083746B"/>
    <w:rsid w:val="008425A3"/>
    <w:rsid w:val="00847567"/>
    <w:rsid w:val="00851995"/>
    <w:rsid w:val="0085572D"/>
    <w:rsid w:val="008614E9"/>
    <w:rsid w:val="008717E7"/>
    <w:rsid w:val="00873D00"/>
    <w:rsid w:val="00873D6D"/>
    <w:rsid w:val="0088055A"/>
    <w:rsid w:val="0088064A"/>
    <w:rsid w:val="0088301D"/>
    <w:rsid w:val="0089342B"/>
    <w:rsid w:val="00895894"/>
    <w:rsid w:val="00896B4E"/>
    <w:rsid w:val="00897581"/>
    <w:rsid w:val="008A28F5"/>
    <w:rsid w:val="008A4354"/>
    <w:rsid w:val="008A7BA7"/>
    <w:rsid w:val="008B1390"/>
    <w:rsid w:val="008B3660"/>
    <w:rsid w:val="008C472C"/>
    <w:rsid w:val="008C4C3B"/>
    <w:rsid w:val="008D1494"/>
    <w:rsid w:val="008D5076"/>
    <w:rsid w:val="008D79FF"/>
    <w:rsid w:val="008E00B2"/>
    <w:rsid w:val="008E0625"/>
    <w:rsid w:val="008F177A"/>
    <w:rsid w:val="008F3C78"/>
    <w:rsid w:val="00901170"/>
    <w:rsid w:val="00901974"/>
    <w:rsid w:val="00912AFD"/>
    <w:rsid w:val="009148F7"/>
    <w:rsid w:val="00915903"/>
    <w:rsid w:val="00915F23"/>
    <w:rsid w:val="00916D71"/>
    <w:rsid w:val="00926BCD"/>
    <w:rsid w:val="009335B8"/>
    <w:rsid w:val="00935E22"/>
    <w:rsid w:val="00937710"/>
    <w:rsid w:val="00940E46"/>
    <w:rsid w:val="00956AE8"/>
    <w:rsid w:val="00956BED"/>
    <w:rsid w:val="009571E4"/>
    <w:rsid w:val="00957952"/>
    <w:rsid w:val="00964E55"/>
    <w:rsid w:val="00970F77"/>
    <w:rsid w:val="00973379"/>
    <w:rsid w:val="0097366E"/>
    <w:rsid w:val="00976436"/>
    <w:rsid w:val="00980BB4"/>
    <w:rsid w:val="009826A5"/>
    <w:rsid w:val="00983E80"/>
    <w:rsid w:val="00985AA4"/>
    <w:rsid w:val="00986B9E"/>
    <w:rsid w:val="00993C29"/>
    <w:rsid w:val="00997315"/>
    <w:rsid w:val="009A121F"/>
    <w:rsid w:val="009A2506"/>
    <w:rsid w:val="009A34AE"/>
    <w:rsid w:val="009A4F0E"/>
    <w:rsid w:val="009B05A0"/>
    <w:rsid w:val="009B07DF"/>
    <w:rsid w:val="009B307C"/>
    <w:rsid w:val="009B418A"/>
    <w:rsid w:val="009B7DB2"/>
    <w:rsid w:val="009C7580"/>
    <w:rsid w:val="009C7EB9"/>
    <w:rsid w:val="009D256C"/>
    <w:rsid w:val="009E0970"/>
    <w:rsid w:val="009F123F"/>
    <w:rsid w:val="009F492C"/>
    <w:rsid w:val="009F4EFA"/>
    <w:rsid w:val="00A05DFA"/>
    <w:rsid w:val="00A10453"/>
    <w:rsid w:val="00A1165A"/>
    <w:rsid w:val="00A11A85"/>
    <w:rsid w:val="00A13CD7"/>
    <w:rsid w:val="00A213AD"/>
    <w:rsid w:val="00A23D03"/>
    <w:rsid w:val="00A30D51"/>
    <w:rsid w:val="00A3140E"/>
    <w:rsid w:val="00A3144A"/>
    <w:rsid w:val="00A4432D"/>
    <w:rsid w:val="00A46014"/>
    <w:rsid w:val="00A50BDF"/>
    <w:rsid w:val="00A50E27"/>
    <w:rsid w:val="00A52B05"/>
    <w:rsid w:val="00A5375C"/>
    <w:rsid w:val="00A555CE"/>
    <w:rsid w:val="00A62357"/>
    <w:rsid w:val="00A626E9"/>
    <w:rsid w:val="00A65DCC"/>
    <w:rsid w:val="00A70E0E"/>
    <w:rsid w:val="00A715AB"/>
    <w:rsid w:val="00A7181B"/>
    <w:rsid w:val="00A7275E"/>
    <w:rsid w:val="00A77682"/>
    <w:rsid w:val="00A8169E"/>
    <w:rsid w:val="00A83487"/>
    <w:rsid w:val="00A849BD"/>
    <w:rsid w:val="00A852C4"/>
    <w:rsid w:val="00A86DF9"/>
    <w:rsid w:val="00A9155C"/>
    <w:rsid w:val="00A91F96"/>
    <w:rsid w:val="00A952CD"/>
    <w:rsid w:val="00A95EB6"/>
    <w:rsid w:val="00AA0441"/>
    <w:rsid w:val="00AA0455"/>
    <w:rsid w:val="00AB18B5"/>
    <w:rsid w:val="00AB4213"/>
    <w:rsid w:val="00AB5C12"/>
    <w:rsid w:val="00AB67C6"/>
    <w:rsid w:val="00AB6C4C"/>
    <w:rsid w:val="00AC5E86"/>
    <w:rsid w:val="00AD0F40"/>
    <w:rsid w:val="00AD22F6"/>
    <w:rsid w:val="00AD36D1"/>
    <w:rsid w:val="00AE3D8F"/>
    <w:rsid w:val="00AF0D67"/>
    <w:rsid w:val="00AF1A17"/>
    <w:rsid w:val="00AF4CEE"/>
    <w:rsid w:val="00AF7F16"/>
    <w:rsid w:val="00B01072"/>
    <w:rsid w:val="00B016B6"/>
    <w:rsid w:val="00B03F35"/>
    <w:rsid w:val="00B10DDB"/>
    <w:rsid w:val="00B10EA2"/>
    <w:rsid w:val="00B13B28"/>
    <w:rsid w:val="00B14440"/>
    <w:rsid w:val="00B23D7D"/>
    <w:rsid w:val="00B25889"/>
    <w:rsid w:val="00B260DD"/>
    <w:rsid w:val="00B325BA"/>
    <w:rsid w:val="00B32F50"/>
    <w:rsid w:val="00B33183"/>
    <w:rsid w:val="00B33EC3"/>
    <w:rsid w:val="00B340AB"/>
    <w:rsid w:val="00B3549E"/>
    <w:rsid w:val="00B405DB"/>
    <w:rsid w:val="00B44DC5"/>
    <w:rsid w:val="00B44E3D"/>
    <w:rsid w:val="00B47477"/>
    <w:rsid w:val="00B510CE"/>
    <w:rsid w:val="00B632A6"/>
    <w:rsid w:val="00B64CDE"/>
    <w:rsid w:val="00B64EFC"/>
    <w:rsid w:val="00B65AFD"/>
    <w:rsid w:val="00B70E6C"/>
    <w:rsid w:val="00B72C9B"/>
    <w:rsid w:val="00B75DFF"/>
    <w:rsid w:val="00B76EA0"/>
    <w:rsid w:val="00B91CF8"/>
    <w:rsid w:val="00B966D4"/>
    <w:rsid w:val="00BA0CBE"/>
    <w:rsid w:val="00BA3676"/>
    <w:rsid w:val="00BA5896"/>
    <w:rsid w:val="00BB5559"/>
    <w:rsid w:val="00BB7B04"/>
    <w:rsid w:val="00BC3F53"/>
    <w:rsid w:val="00BC5C94"/>
    <w:rsid w:val="00BC5FF7"/>
    <w:rsid w:val="00BC6AE1"/>
    <w:rsid w:val="00BD1E79"/>
    <w:rsid w:val="00BD2228"/>
    <w:rsid w:val="00BD53C1"/>
    <w:rsid w:val="00C00EF2"/>
    <w:rsid w:val="00C01E3D"/>
    <w:rsid w:val="00C05CEB"/>
    <w:rsid w:val="00C11C76"/>
    <w:rsid w:val="00C143AE"/>
    <w:rsid w:val="00C143C0"/>
    <w:rsid w:val="00C15E3D"/>
    <w:rsid w:val="00C16114"/>
    <w:rsid w:val="00C16434"/>
    <w:rsid w:val="00C16C83"/>
    <w:rsid w:val="00C16CA4"/>
    <w:rsid w:val="00C2072D"/>
    <w:rsid w:val="00C33545"/>
    <w:rsid w:val="00C350F6"/>
    <w:rsid w:val="00C438C9"/>
    <w:rsid w:val="00C45CDF"/>
    <w:rsid w:val="00C55CF0"/>
    <w:rsid w:val="00C61AA2"/>
    <w:rsid w:val="00C734C8"/>
    <w:rsid w:val="00C737FB"/>
    <w:rsid w:val="00C751A3"/>
    <w:rsid w:val="00C94B70"/>
    <w:rsid w:val="00C9684B"/>
    <w:rsid w:val="00C97C72"/>
    <w:rsid w:val="00CA025E"/>
    <w:rsid w:val="00CA550E"/>
    <w:rsid w:val="00CA5E36"/>
    <w:rsid w:val="00CC07E1"/>
    <w:rsid w:val="00CC255F"/>
    <w:rsid w:val="00CC2ECC"/>
    <w:rsid w:val="00CC69B7"/>
    <w:rsid w:val="00CC7AF7"/>
    <w:rsid w:val="00CD0F90"/>
    <w:rsid w:val="00CE58C6"/>
    <w:rsid w:val="00CE70D6"/>
    <w:rsid w:val="00CE74B8"/>
    <w:rsid w:val="00CF146E"/>
    <w:rsid w:val="00CF3AA2"/>
    <w:rsid w:val="00D02022"/>
    <w:rsid w:val="00D03ADC"/>
    <w:rsid w:val="00D045C2"/>
    <w:rsid w:val="00D10DEB"/>
    <w:rsid w:val="00D133E8"/>
    <w:rsid w:val="00D15ADE"/>
    <w:rsid w:val="00D165F8"/>
    <w:rsid w:val="00D2038B"/>
    <w:rsid w:val="00D20CFA"/>
    <w:rsid w:val="00D21ACC"/>
    <w:rsid w:val="00D230E9"/>
    <w:rsid w:val="00D26A6A"/>
    <w:rsid w:val="00D31898"/>
    <w:rsid w:val="00D31E5A"/>
    <w:rsid w:val="00D377B6"/>
    <w:rsid w:val="00D404DC"/>
    <w:rsid w:val="00D41166"/>
    <w:rsid w:val="00D42FF6"/>
    <w:rsid w:val="00D43797"/>
    <w:rsid w:val="00D43DB2"/>
    <w:rsid w:val="00D47536"/>
    <w:rsid w:val="00D51778"/>
    <w:rsid w:val="00D51D6B"/>
    <w:rsid w:val="00D53CF9"/>
    <w:rsid w:val="00D54E88"/>
    <w:rsid w:val="00D61E9F"/>
    <w:rsid w:val="00D630C3"/>
    <w:rsid w:val="00D712DD"/>
    <w:rsid w:val="00D74A2D"/>
    <w:rsid w:val="00D82A5F"/>
    <w:rsid w:val="00D82B75"/>
    <w:rsid w:val="00D86A1E"/>
    <w:rsid w:val="00D902BD"/>
    <w:rsid w:val="00D9548C"/>
    <w:rsid w:val="00DA1BD0"/>
    <w:rsid w:val="00DA3228"/>
    <w:rsid w:val="00DA5567"/>
    <w:rsid w:val="00DA7DF4"/>
    <w:rsid w:val="00DB2A96"/>
    <w:rsid w:val="00DB350C"/>
    <w:rsid w:val="00DB3BF4"/>
    <w:rsid w:val="00DB57F1"/>
    <w:rsid w:val="00DC0282"/>
    <w:rsid w:val="00DC10B2"/>
    <w:rsid w:val="00DC22F1"/>
    <w:rsid w:val="00DC4E5A"/>
    <w:rsid w:val="00DC5378"/>
    <w:rsid w:val="00DC5612"/>
    <w:rsid w:val="00DC5695"/>
    <w:rsid w:val="00DC7EE3"/>
    <w:rsid w:val="00DD25EB"/>
    <w:rsid w:val="00DD2E6A"/>
    <w:rsid w:val="00DD35FA"/>
    <w:rsid w:val="00DD54E3"/>
    <w:rsid w:val="00DD5FC2"/>
    <w:rsid w:val="00DD6BB9"/>
    <w:rsid w:val="00DE05AF"/>
    <w:rsid w:val="00DE24CD"/>
    <w:rsid w:val="00DF0F83"/>
    <w:rsid w:val="00DF1799"/>
    <w:rsid w:val="00DF32EC"/>
    <w:rsid w:val="00DF49DC"/>
    <w:rsid w:val="00DF504C"/>
    <w:rsid w:val="00DF5FD4"/>
    <w:rsid w:val="00DF6074"/>
    <w:rsid w:val="00E0095B"/>
    <w:rsid w:val="00E00E52"/>
    <w:rsid w:val="00E0385B"/>
    <w:rsid w:val="00E123EB"/>
    <w:rsid w:val="00E13322"/>
    <w:rsid w:val="00E15EB5"/>
    <w:rsid w:val="00E16F8D"/>
    <w:rsid w:val="00E20671"/>
    <w:rsid w:val="00E21A5F"/>
    <w:rsid w:val="00E23474"/>
    <w:rsid w:val="00E24F09"/>
    <w:rsid w:val="00E36049"/>
    <w:rsid w:val="00E361B2"/>
    <w:rsid w:val="00E36DD0"/>
    <w:rsid w:val="00E3748A"/>
    <w:rsid w:val="00E413BA"/>
    <w:rsid w:val="00E44ADB"/>
    <w:rsid w:val="00E501BF"/>
    <w:rsid w:val="00E51351"/>
    <w:rsid w:val="00E526CF"/>
    <w:rsid w:val="00E60FD3"/>
    <w:rsid w:val="00E619AA"/>
    <w:rsid w:val="00E6544F"/>
    <w:rsid w:val="00E66692"/>
    <w:rsid w:val="00E7035A"/>
    <w:rsid w:val="00E74EEE"/>
    <w:rsid w:val="00E74FEB"/>
    <w:rsid w:val="00E75622"/>
    <w:rsid w:val="00E779E4"/>
    <w:rsid w:val="00E808B7"/>
    <w:rsid w:val="00E836DA"/>
    <w:rsid w:val="00E85BBD"/>
    <w:rsid w:val="00E8666B"/>
    <w:rsid w:val="00E957F3"/>
    <w:rsid w:val="00EA26C6"/>
    <w:rsid w:val="00EA2BCB"/>
    <w:rsid w:val="00EA432C"/>
    <w:rsid w:val="00EB2C0B"/>
    <w:rsid w:val="00EB520B"/>
    <w:rsid w:val="00EB5B2E"/>
    <w:rsid w:val="00EC4852"/>
    <w:rsid w:val="00EC7474"/>
    <w:rsid w:val="00ED18ED"/>
    <w:rsid w:val="00ED2AC2"/>
    <w:rsid w:val="00ED3642"/>
    <w:rsid w:val="00ED388F"/>
    <w:rsid w:val="00ED4290"/>
    <w:rsid w:val="00ED6CCB"/>
    <w:rsid w:val="00EE2AEC"/>
    <w:rsid w:val="00EE2F8A"/>
    <w:rsid w:val="00EE3DC1"/>
    <w:rsid w:val="00EE465F"/>
    <w:rsid w:val="00EE7160"/>
    <w:rsid w:val="00EF2079"/>
    <w:rsid w:val="00EF3E7D"/>
    <w:rsid w:val="00EF608A"/>
    <w:rsid w:val="00EF7DE9"/>
    <w:rsid w:val="00F007D5"/>
    <w:rsid w:val="00F067FB"/>
    <w:rsid w:val="00F07CC1"/>
    <w:rsid w:val="00F121A7"/>
    <w:rsid w:val="00F15F16"/>
    <w:rsid w:val="00F16197"/>
    <w:rsid w:val="00F2041C"/>
    <w:rsid w:val="00F26CF4"/>
    <w:rsid w:val="00F26E1D"/>
    <w:rsid w:val="00F27E51"/>
    <w:rsid w:val="00F318FF"/>
    <w:rsid w:val="00F33787"/>
    <w:rsid w:val="00F3566A"/>
    <w:rsid w:val="00F35A5D"/>
    <w:rsid w:val="00F4037A"/>
    <w:rsid w:val="00F43075"/>
    <w:rsid w:val="00F44106"/>
    <w:rsid w:val="00F4452F"/>
    <w:rsid w:val="00F50930"/>
    <w:rsid w:val="00F531C8"/>
    <w:rsid w:val="00F54C57"/>
    <w:rsid w:val="00F55B7F"/>
    <w:rsid w:val="00F5621E"/>
    <w:rsid w:val="00F57765"/>
    <w:rsid w:val="00F61C0B"/>
    <w:rsid w:val="00F63732"/>
    <w:rsid w:val="00F63F16"/>
    <w:rsid w:val="00F73AF6"/>
    <w:rsid w:val="00F73C7B"/>
    <w:rsid w:val="00F76576"/>
    <w:rsid w:val="00F8042B"/>
    <w:rsid w:val="00F809F4"/>
    <w:rsid w:val="00F8193C"/>
    <w:rsid w:val="00F831E0"/>
    <w:rsid w:val="00F84401"/>
    <w:rsid w:val="00F84A5B"/>
    <w:rsid w:val="00F930FA"/>
    <w:rsid w:val="00F93B82"/>
    <w:rsid w:val="00FA039D"/>
    <w:rsid w:val="00FA1DF4"/>
    <w:rsid w:val="00FA5EB0"/>
    <w:rsid w:val="00FB2B6B"/>
    <w:rsid w:val="00FB5364"/>
    <w:rsid w:val="00FB6CE9"/>
    <w:rsid w:val="00FB6F93"/>
    <w:rsid w:val="00FC0543"/>
    <w:rsid w:val="00FC0B02"/>
    <w:rsid w:val="00FC336B"/>
    <w:rsid w:val="00FD0F80"/>
    <w:rsid w:val="00FD2499"/>
    <w:rsid w:val="00FD40CF"/>
    <w:rsid w:val="00FD529F"/>
    <w:rsid w:val="00FE516A"/>
    <w:rsid w:val="00FF1F60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F9C02D-5E3A-4D83-A690-C68261BB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39"/>
    <w:rsid w:val="004D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AF4CEE"/>
    <w:pPr>
      <w:spacing w:line="360" w:lineRule="auto"/>
    </w:pPr>
    <w:rPr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F4CEE"/>
    <w:rPr>
      <w:rFonts w:ascii="Arial" w:hAnsi="Arial"/>
      <w:bCs/>
      <w:sz w:val="24"/>
      <w:szCs w:val="24"/>
      <w:lang w:val="en-Z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0DC4B-68ED-4CCF-A5B5-CC052141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Nokwezi Tunzi</dc:creator>
  <cp:lastModifiedBy>Nikiwe Ncetezo</cp:lastModifiedBy>
  <cp:revision>2</cp:revision>
  <cp:lastPrinted>2020-06-24T17:05:00Z</cp:lastPrinted>
  <dcterms:created xsi:type="dcterms:W3CDTF">2020-07-27T17:27:00Z</dcterms:created>
  <dcterms:modified xsi:type="dcterms:W3CDTF">2020-07-27T17:27:00Z</dcterms:modified>
</cp:coreProperties>
</file>