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E061C4" w:rsidP="00FB6D36">
      <w:pPr>
        <w:pStyle w:val="BodyText"/>
        <w:jc w:val="center"/>
        <w:rPr>
          <w:rFonts w:ascii="Calibri"/>
          <w:sz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252730</wp:posOffset>
            </wp:positionV>
            <wp:extent cx="1051560" cy="12827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adjustRightInd w:val="0"/>
        <w:jc w:val="center"/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  <w:sz w:val="16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</w:rPr>
      </w:pP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MINISTER</w:t>
      </w: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HUMAN SETTLEMENTS, WATER AND SANITATION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75107C">
      <w:pPr>
        <w:tabs>
          <w:tab w:val="left" w:pos="588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0D2B2E">
        <w:rPr>
          <w:b/>
          <w:sz w:val="24"/>
          <w:szCs w:val="24"/>
        </w:rPr>
        <w:t>1</w:t>
      </w:r>
      <w:r w:rsidR="00877810">
        <w:rPr>
          <w:b/>
          <w:sz w:val="24"/>
          <w:szCs w:val="24"/>
        </w:rPr>
        <w:t>2</w:t>
      </w:r>
      <w:r w:rsidR="0075107C">
        <w:rPr>
          <w:b/>
          <w:sz w:val="24"/>
          <w:szCs w:val="24"/>
        </w:rPr>
        <w:t>64</w:t>
      </w:r>
      <w:r w:rsidR="0075107C">
        <w:rPr>
          <w:b/>
          <w:sz w:val="24"/>
          <w:szCs w:val="24"/>
        </w:rPr>
        <w:tab/>
      </w:r>
    </w:p>
    <w:p w:rsidR="00C72BD9" w:rsidRPr="0055709D" w:rsidRDefault="00C72BD9" w:rsidP="000D2B2E">
      <w:pPr>
        <w:jc w:val="center"/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877810">
        <w:rPr>
          <w:b/>
          <w:sz w:val="24"/>
          <w:szCs w:val="24"/>
        </w:rPr>
        <w:t>14</w:t>
      </w:r>
      <w:r w:rsidR="00B022CB">
        <w:rPr>
          <w:b/>
          <w:sz w:val="24"/>
          <w:szCs w:val="24"/>
        </w:rPr>
        <w:t xml:space="preserve"> MAY</w:t>
      </w:r>
      <w:r w:rsidR="005314EA">
        <w:rPr>
          <w:b/>
          <w:sz w:val="24"/>
          <w:szCs w:val="24"/>
        </w:rPr>
        <w:t xml:space="preserve"> 202</w:t>
      </w:r>
      <w:r w:rsidR="00AB79AC">
        <w:rPr>
          <w:b/>
          <w:sz w:val="24"/>
          <w:szCs w:val="24"/>
        </w:rPr>
        <w:t>1</w:t>
      </w:r>
    </w:p>
    <w:p w:rsidR="00B177C5" w:rsidRDefault="00B177C5" w:rsidP="00B177C5">
      <w:pPr>
        <w:rPr>
          <w:b/>
          <w:sz w:val="24"/>
          <w:szCs w:val="24"/>
        </w:rPr>
      </w:pPr>
    </w:p>
    <w:p w:rsidR="0075107C" w:rsidRPr="009476EF" w:rsidRDefault="0075107C" w:rsidP="0075107C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</w:rPr>
      </w:pPr>
      <w:r w:rsidRPr="009476EF">
        <w:rPr>
          <w:b/>
          <w:sz w:val="24"/>
          <w:szCs w:val="24"/>
        </w:rPr>
        <w:t xml:space="preserve">Ms E L Powell (DA) to ask the </w:t>
      </w:r>
      <w:r w:rsidRPr="00C6375B">
        <w:rPr>
          <w:rFonts w:eastAsia="Calibri"/>
          <w:b/>
          <w:sz w:val="24"/>
          <w:szCs w:val="24"/>
        </w:rPr>
        <w:t>Minister</w:t>
      </w:r>
      <w:r w:rsidRPr="009476EF">
        <w:rPr>
          <w:b/>
          <w:sz w:val="24"/>
          <w:szCs w:val="24"/>
        </w:rPr>
        <w:t xml:space="preserve">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145ED6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9476EF">
        <w:rPr>
          <w:b/>
          <w:sz w:val="24"/>
          <w:szCs w:val="24"/>
        </w:rPr>
        <w:t>:</w:t>
      </w:r>
    </w:p>
    <w:p w:rsidR="0075107C" w:rsidRPr="009476EF" w:rsidRDefault="0075107C" w:rsidP="0075107C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  <w:r w:rsidRPr="009476EF">
        <w:rPr>
          <w:sz w:val="24"/>
          <w:szCs w:val="24"/>
          <w:lang w:val="en-US" w:eastAsia="en-ZA"/>
        </w:rPr>
        <w:t>Whether she will furnish Ms E L Powel</w:t>
      </w:r>
      <w:r>
        <w:rPr>
          <w:sz w:val="24"/>
          <w:szCs w:val="24"/>
          <w:lang w:val="en-US" w:eastAsia="en-ZA"/>
        </w:rPr>
        <w:t>l</w:t>
      </w:r>
      <w:r w:rsidRPr="009476EF">
        <w:rPr>
          <w:sz w:val="24"/>
          <w:szCs w:val="24"/>
          <w:lang w:val="en-US" w:eastAsia="en-ZA"/>
        </w:rPr>
        <w:t xml:space="preserve"> with the details of the (a) total costs incurred in the establishment and operations of the National Human Settlements Command Centre (HSCC) and (b) remedial </w:t>
      </w:r>
      <w:r w:rsidRPr="00461AA9">
        <w:rPr>
          <w:sz w:val="24"/>
          <w:szCs w:val="24"/>
        </w:rPr>
        <w:t>action</w:t>
      </w:r>
      <w:r w:rsidRPr="009476EF">
        <w:rPr>
          <w:sz w:val="24"/>
          <w:szCs w:val="24"/>
          <w:lang w:val="en-US" w:eastAsia="en-ZA"/>
        </w:rPr>
        <w:t xml:space="preserve"> she has taken in relation to the findings of the Auditor-General’s First Special Report on Government’s Financial Management of the COVID-19 crisis with specific reference to the failings of the HSCC; if not, why not; if so, what are the relevant details</w:t>
      </w:r>
      <w:r w:rsidRPr="009476EF">
        <w:rPr>
          <w:sz w:val="24"/>
          <w:szCs w:val="24"/>
        </w:rPr>
        <w:t>?</w:t>
      </w:r>
      <w:r w:rsidRPr="009476EF">
        <w:rPr>
          <w:sz w:val="24"/>
          <w:szCs w:val="24"/>
        </w:rPr>
        <w:tab/>
      </w:r>
      <w:r w:rsidRPr="009476E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014775">
        <w:t>NW1455E</w:t>
      </w:r>
    </w:p>
    <w:p w:rsidR="00E161DB" w:rsidRDefault="00E161DB" w:rsidP="00891C4E">
      <w:pPr>
        <w:spacing w:line="320" w:lineRule="exact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91C4E">
      <w:pPr>
        <w:spacing w:line="320" w:lineRule="exact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757EB3" w:rsidRPr="00757EB3" w:rsidRDefault="00757EB3" w:rsidP="00757EB3">
      <w:pPr>
        <w:rPr>
          <w:color w:val="0E101A"/>
          <w:sz w:val="24"/>
          <w:szCs w:val="24"/>
          <w:lang w:val="en-ZA" w:eastAsia="en-ZA"/>
        </w:rPr>
      </w:pPr>
    </w:p>
    <w:p w:rsidR="00213592" w:rsidRPr="00757EB3" w:rsidRDefault="00213592" w:rsidP="00213592">
      <w:pPr>
        <w:jc w:val="both"/>
        <w:rPr>
          <w:color w:val="0E101A"/>
          <w:sz w:val="24"/>
          <w:szCs w:val="24"/>
          <w:lang w:val="en-ZA" w:eastAsia="en-ZA"/>
        </w:rPr>
      </w:pPr>
      <w:r w:rsidRPr="00757EB3">
        <w:rPr>
          <w:color w:val="0E101A"/>
          <w:sz w:val="24"/>
          <w:szCs w:val="24"/>
          <w:lang w:val="en-ZA" w:eastAsia="en-ZA"/>
        </w:rPr>
        <w:t xml:space="preserve">Honourable Member, the Housing Development Agency (HDA) hosted the National Human Settlements Command Centre (HSCC). </w:t>
      </w:r>
      <w:r>
        <w:rPr>
          <w:color w:val="0E101A"/>
          <w:sz w:val="24"/>
          <w:szCs w:val="24"/>
          <w:lang w:val="en-ZA" w:eastAsia="en-ZA"/>
        </w:rPr>
        <w:t>I am informed that t</w:t>
      </w:r>
      <w:r w:rsidRPr="00757EB3">
        <w:rPr>
          <w:color w:val="0E101A"/>
          <w:sz w:val="24"/>
          <w:szCs w:val="24"/>
          <w:lang w:val="en-ZA" w:eastAsia="en-ZA"/>
        </w:rPr>
        <w:t>he</w:t>
      </w:r>
      <w:r>
        <w:rPr>
          <w:color w:val="0E101A"/>
          <w:sz w:val="24"/>
          <w:szCs w:val="24"/>
          <w:lang w:val="en-ZA" w:eastAsia="en-ZA"/>
        </w:rPr>
        <w:t>re were</w:t>
      </w:r>
      <w:r w:rsidRPr="00757EB3">
        <w:rPr>
          <w:color w:val="0E101A"/>
          <w:sz w:val="24"/>
          <w:szCs w:val="24"/>
          <w:lang w:val="en-ZA" w:eastAsia="en-ZA"/>
        </w:rPr>
        <w:t xml:space="preserve"> no costs incurred in the establishment and operations of the HSCC.</w:t>
      </w:r>
    </w:p>
    <w:p w:rsidR="00213592" w:rsidRPr="00757EB3" w:rsidRDefault="00213592" w:rsidP="00213592">
      <w:pPr>
        <w:jc w:val="both"/>
        <w:rPr>
          <w:color w:val="0E101A"/>
          <w:sz w:val="24"/>
          <w:szCs w:val="24"/>
          <w:lang w:val="en-ZA" w:eastAsia="en-ZA"/>
        </w:rPr>
      </w:pPr>
      <w:r w:rsidRPr="00757EB3">
        <w:rPr>
          <w:color w:val="0E101A"/>
          <w:sz w:val="24"/>
          <w:szCs w:val="24"/>
          <w:lang w:val="en-ZA" w:eastAsia="en-ZA"/>
        </w:rPr>
        <w:t> </w:t>
      </w:r>
    </w:p>
    <w:p w:rsidR="00213592" w:rsidRPr="00757EB3" w:rsidRDefault="00213592" w:rsidP="00213592">
      <w:pPr>
        <w:jc w:val="both"/>
        <w:rPr>
          <w:color w:val="0E101A"/>
          <w:sz w:val="24"/>
          <w:szCs w:val="24"/>
          <w:lang w:val="en-ZA" w:eastAsia="en-ZA"/>
        </w:rPr>
      </w:pPr>
      <w:r w:rsidRPr="00757EB3">
        <w:rPr>
          <w:color w:val="0E101A"/>
          <w:sz w:val="24"/>
          <w:szCs w:val="24"/>
          <w:lang w:val="en-ZA" w:eastAsia="en-ZA"/>
        </w:rPr>
        <w:t xml:space="preserve">Following the findings published in the Auditor-General’s First Special Report on Government’s Financial Management of the COVID-19 crisis, I convened MinMEC on 23 September 2020 to discuss findings in respect of the Temporary Residential Units (TRUs) built in response to the COVID-19 pandemic. This was necessary because housing is a concurrent function between three spheres of government and the National Department of Human Settlements is responsible for policymaking. </w:t>
      </w:r>
      <w:r>
        <w:rPr>
          <w:color w:val="0E101A"/>
          <w:sz w:val="24"/>
          <w:szCs w:val="24"/>
          <w:lang w:val="en-ZA" w:eastAsia="en-ZA"/>
        </w:rPr>
        <w:t>T</w:t>
      </w:r>
      <w:r w:rsidRPr="00757EB3">
        <w:rPr>
          <w:color w:val="0E101A"/>
          <w:sz w:val="24"/>
          <w:szCs w:val="24"/>
          <w:lang w:val="en-ZA" w:eastAsia="en-ZA"/>
        </w:rPr>
        <w:t xml:space="preserve">he meeting </w:t>
      </w:r>
      <w:r>
        <w:rPr>
          <w:color w:val="0E101A"/>
          <w:sz w:val="24"/>
          <w:szCs w:val="24"/>
          <w:lang w:val="en-ZA" w:eastAsia="en-ZA"/>
        </w:rPr>
        <w:t xml:space="preserve">was </w:t>
      </w:r>
      <w:r w:rsidRPr="00757EB3">
        <w:rPr>
          <w:color w:val="0E101A"/>
          <w:sz w:val="24"/>
          <w:szCs w:val="24"/>
          <w:lang w:val="en-ZA" w:eastAsia="en-ZA"/>
        </w:rPr>
        <w:t>attended by members of the HSCC, Provinces, HDA and Municipalities</w:t>
      </w:r>
      <w:r>
        <w:rPr>
          <w:color w:val="0E101A"/>
          <w:sz w:val="24"/>
          <w:szCs w:val="24"/>
          <w:lang w:val="en-ZA" w:eastAsia="en-ZA"/>
        </w:rPr>
        <w:t xml:space="preserve">. At the said meeting and </w:t>
      </w:r>
      <w:r w:rsidRPr="00757EB3">
        <w:rPr>
          <w:color w:val="0E101A"/>
          <w:sz w:val="24"/>
          <w:szCs w:val="24"/>
          <w:lang w:val="en-ZA" w:eastAsia="en-ZA"/>
        </w:rPr>
        <w:t>as part of remedial measures, Accounting Officers of these entities were instructed to; </w:t>
      </w:r>
    </w:p>
    <w:p w:rsidR="00213592" w:rsidRPr="00757EB3" w:rsidRDefault="00213592" w:rsidP="00213592">
      <w:pPr>
        <w:jc w:val="both"/>
        <w:rPr>
          <w:color w:val="0E101A"/>
          <w:sz w:val="24"/>
          <w:szCs w:val="24"/>
          <w:lang w:val="en-ZA" w:eastAsia="en-ZA"/>
        </w:rPr>
      </w:pPr>
      <w:r w:rsidRPr="00757EB3">
        <w:rPr>
          <w:color w:val="0E101A"/>
          <w:sz w:val="24"/>
          <w:szCs w:val="24"/>
          <w:lang w:val="en-ZA" w:eastAsia="en-ZA"/>
        </w:rPr>
        <w:t> </w:t>
      </w:r>
    </w:p>
    <w:p w:rsidR="00213592" w:rsidRPr="00757EB3" w:rsidRDefault="00213592" w:rsidP="00213592">
      <w:pPr>
        <w:numPr>
          <w:ilvl w:val="0"/>
          <w:numId w:val="26"/>
        </w:numPr>
        <w:jc w:val="both"/>
        <w:rPr>
          <w:color w:val="0E101A"/>
          <w:sz w:val="24"/>
          <w:szCs w:val="24"/>
          <w:lang w:val="en-ZA" w:eastAsia="en-ZA"/>
        </w:rPr>
      </w:pPr>
      <w:r w:rsidRPr="00757EB3">
        <w:rPr>
          <w:color w:val="0E101A"/>
          <w:sz w:val="24"/>
          <w:szCs w:val="24"/>
          <w:lang w:val="en-ZA" w:eastAsia="en-ZA"/>
        </w:rPr>
        <w:t>Take the necessary steps immediately to ensure that the current TRU projects comply with minimum norms &amp; standards.</w:t>
      </w:r>
    </w:p>
    <w:p w:rsidR="00213592" w:rsidRPr="00757EB3" w:rsidRDefault="00213592" w:rsidP="00213592">
      <w:pPr>
        <w:numPr>
          <w:ilvl w:val="0"/>
          <w:numId w:val="26"/>
        </w:numPr>
        <w:jc w:val="both"/>
        <w:rPr>
          <w:color w:val="0E101A"/>
          <w:sz w:val="24"/>
          <w:szCs w:val="24"/>
          <w:lang w:val="en-ZA" w:eastAsia="en-ZA"/>
        </w:rPr>
      </w:pPr>
      <w:r w:rsidRPr="00757EB3">
        <w:rPr>
          <w:color w:val="0E101A"/>
          <w:sz w:val="24"/>
          <w:szCs w:val="24"/>
          <w:lang w:val="en-ZA" w:eastAsia="en-ZA"/>
        </w:rPr>
        <w:t>Revisit current contracts to ensure value-for-money is derived. </w:t>
      </w:r>
    </w:p>
    <w:p w:rsidR="00213592" w:rsidRPr="00757EB3" w:rsidRDefault="00213592" w:rsidP="00213592">
      <w:pPr>
        <w:numPr>
          <w:ilvl w:val="0"/>
          <w:numId w:val="26"/>
        </w:numPr>
        <w:jc w:val="both"/>
        <w:rPr>
          <w:color w:val="0E101A"/>
          <w:sz w:val="24"/>
          <w:szCs w:val="24"/>
          <w:lang w:val="en-ZA" w:eastAsia="en-ZA"/>
        </w:rPr>
      </w:pPr>
      <w:r w:rsidRPr="00757EB3">
        <w:rPr>
          <w:color w:val="0E101A"/>
          <w:sz w:val="24"/>
          <w:szCs w:val="24"/>
          <w:lang w:val="en-ZA" w:eastAsia="en-ZA"/>
        </w:rPr>
        <w:lastRenderedPageBreak/>
        <w:t>Institute Accountability and Consequence management measures - “act or be acted upon”.</w:t>
      </w:r>
    </w:p>
    <w:p w:rsidR="00213592" w:rsidRPr="00757EB3" w:rsidRDefault="00213592" w:rsidP="00213592">
      <w:pPr>
        <w:numPr>
          <w:ilvl w:val="0"/>
          <w:numId w:val="26"/>
        </w:numPr>
        <w:jc w:val="both"/>
        <w:rPr>
          <w:color w:val="0E101A"/>
          <w:sz w:val="24"/>
          <w:szCs w:val="24"/>
          <w:lang w:val="en-ZA" w:eastAsia="en-ZA"/>
        </w:rPr>
      </w:pPr>
      <w:r w:rsidRPr="00757EB3">
        <w:rPr>
          <w:color w:val="0E101A"/>
          <w:sz w:val="24"/>
          <w:szCs w:val="24"/>
          <w:lang w:val="en-ZA" w:eastAsia="en-ZA"/>
        </w:rPr>
        <w:t>Consult with the NHBRC on specifications for TRU bids and implementation monitoring.</w:t>
      </w:r>
    </w:p>
    <w:p w:rsidR="00213592" w:rsidRPr="00757EB3" w:rsidRDefault="00213592" w:rsidP="00213592">
      <w:pPr>
        <w:jc w:val="both"/>
        <w:rPr>
          <w:color w:val="0E101A"/>
          <w:sz w:val="24"/>
          <w:szCs w:val="24"/>
          <w:lang w:val="en-ZA" w:eastAsia="en-ZA"/>
        </w:rPr>
      </w:pPr>
      <w:r w:rsidRPr="00757EB3">
        <w:rPr>
          <w:color w:val="0E101A"/>
          <w:sz w:val="24"/>
          <w:szCs w:val="24"/>
          <w:lang w:val="en-ZA" w:eastAsia="en-ZA"/>
        </w:rPr>
        <w:t> </w:t>
      </w:r>
    </w:p>
    <w:p w:rsidR="00213592" w:rsidRPr="00757EB3" w:rsidRDefault="00213592" w:rsidP="00213592">
      <w:pPr>
        <w:jc w:val="both"/>
        <w:rPr>
          <w:color w:val="0E101A"/>
          <w:sz w:val="24"/>
          <w:szCs w:val="24"/>
          <w:lang w:val="en-ZA" w:eastAsia="en-ZA"/>
        </w:rPr>
      </w:pPr>
      <w:r w:rsidRPr="00757EB3">
        <w:rPr>
          <w:color w:val="0E101A"/>
          <w:sz w:val="24"/>
          <w:szCs w:val="24"/>
          <w:lang w:val="en-ZA" w:eastAsia="en-ZA"/>
        </w:rPr>
        <w:t>Further, the Honourable Member will be aware that the matter is also under investigation by the SIU.</w:t>
      </w:r>
    </w:p>
    <w:p w:rsidR="00213592" w:rsidRPr="00C92743" w:rsidRDefault="00213592" w:rsidP="00213592">
      <w:pPr>
        <w:pStyle w:val="NoSpacing"/>
        <w:jc w:val="both"/>
        <w:rPr>
          <w:b/>
          <w:sz w:val="24"/>
          <w:szCs w:val="24"/>
        </w:rPr>
      </w:pPr>
    </w:p>
    <w:p w:rsidR="00213592" w:rsidRPr="00C92743" w:rsidRDefault="00213592" w:rsidP="00213592">
      <w:pPr>
        <w:pStyle w:val="NoSpacing"/>
        <w:jc w:val="both"/>
        <w:rPr>
          <w:b/>
          <w:sz w:val="24"/>
          <w:szCs w:val="24"/>
        </w:rPr>
      </w:pPr>
    </w:p>
    <w:p w:rsidR="00877810" w:rsidRPr="00C92743" w:rsidRDefault="00877810" w:rsidP="00213592">
      <w:pPr>
        <w:jc w:val="both"/>
        <w:rPr>
          <w:b/>
          <w:sz w:val="24"/>
          <w:szCs w:val="24"/>
        </w:rPr>
      </w:pPr>
    </w:p>
    <w:sectPr w:rsidR="00877810" w:rsidRPr="00C92743" w:rsidSect="00652ECC">
      <w:headerReference w:type="default" r:id="rId8"/>
      <w:pgSz w:w="12240" w:h="15840"/>
      <w:pgMar w:top="1474" w:right="107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FB" w:rsidRDefault="007E28FB" w:rsidP="00054FEC">
      <w:r>
        <w:separator/>
      </w:r>
    </w:p>
  </w:endnote>
  <w:endnote w:type="continuationSeparator" w:id="0">
    <w:p w:rsidR="007E28FB" w:rsidRDefault="007E28FB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FB" w:rsidRDefault="007E28FB" w:rsidP="00054FEC">
      <w:r>
        <w:separator/>
      </w:r>
    </w:p>
  </w:footnote>
  <w:footnote w:type="continuationSeparator" w:id="0">
    <w:p w:rsidR="007E28FB" w:rsidRDefault="007E28FB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0D2B2E">
      <w:t>1</w:t>
    </w:r>
    <w:r w:rsidR="00877810">
      <w:t>2</w:t>
    </w:r>
    <w:r w:rsidR="0075107C">
      <w:t>64</w:t>
    </w:r>
    <w:r w:rsidR="000D2B2E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E00B4"/>
    <w:multiLevelType w:val="hybridMultilevel"/>
    <w:tmpl w:val="60E2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7656"/>
    <w:multiLevelType w:val="hybridMultilevel"/>
    <w:tmpl w:val="9F0E6C7C"/>
    <w:lvl w:ilvl="0" w:tplc="0C3E08E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948"/>
    <w:multiLevelType w:val="multilevel"/>
    <w:tmpl w:val="8C0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07721"/>
    <w:multiLevelType w:val="hybridMultilevel"/>
    <w:tmpl w:val="F81E3BAA"/>
    <w:lvl w:ilvl="0" w:tplc="08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9B787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26607"/>
    <w:multiLevelType w:val="hybridMultilevel"/>
    <w:tmpl w:val="C2827C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DA076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75D0D"/>
    <w:multiLevelType w:val="hybridMultilevel"/>
    <w:tmpl w:val="FF7038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B2EA3"/>
    <w:multiLevelType w:val="hybridMultilevel"/>
    <w:tmpl w:val="D27455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8A2CCA"/>
    <w:multiLevelType w:val="hybridMultilevel"/>
    <w:tmpl w:val="EFCACE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6DE5"/>
    <w:multiLevelType w:val="hybridMultilevel"/>
    <w:tmpl w:val="0694B566"/>
    <w:lvl w:ilvl="0" w:tplc="D4C8814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4D353665"/>
    <w:multiLevelType w:val="hybridMultilevel"/>
    <w:tmpl w:val="840AD41A"/>
    <w:lvl w:ilvl="0" w:tplc="9C90D3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5F443E0"/>
    <w:multiLevelType w:val="hybridMultilevel"/>
    <w:tmpl w:val="35464F4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47377"/>
    <w:multiLevelType w:val="hybridMultilevel"/>
    <w:tmpl w:val="DA44DFB4"/>
    <w:lvl w:ilvl="0" w:tplc="1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25AF3"/>
    <w:multiLevelType w:val="hybridMultilevel"/>
    <w:tmpl w:val="4E26724A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6A062B3D"/>
    <w:multiLevelType w:val="hybridMultilevel"/>
    <w:tmpl w:val="FEB4DA9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C70911"/>
    <w:multiLevelType w:val="hybridMultilevel"/>
    <w:tmpl w:val="F25A20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A33709"/>
    <w:multiLevelType w:val="hybridMultilevel"/>
    <w:tmpl w:val="89A0208C"/>
    <w:lvl w:ilvl="0" w:tplc="50982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F79A5"/>
    <w:multiLevelType w:val="hybridMultilevel"/>
    <w:tmpl w:val="FB2089D8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15"/>
  </w:num>
  <w:num w:numId="8">
    <w:abstractNumId w:val="13"/>
  </w:num>
  <w:num w:numId="9">
    <w:abstractNumId w:val="19"/>
  </w:num>
  <w:num w:numId="10">
    <w:abstractNumId w:val="8"/>
  </w:num>
  <w:num w:numId="11">
    <w:abstractNumId w:val="6"/>
  </w:num>
  <w:num w:numId="12">
    <w:abstractNumId w:val="23"/>
  </w:num>
  <w:num w:numId="13">
    <w:abstractNumId w:val="5"/>
  </w:num>
  <w:num w:numId="14">
    <w:abstractNumId w:val="7"/>
  </w:num>
  <w:num w:numId="15">
    <w:abstractNumId w:val="20"/>
  </w:num>
  <w:num w:numId="16">
    <w:abstractNumId w:val="10"/>
  </w:num>
  <w:num w:numId="17">
    <w:abstractNumId w:val="11"/>
  </w:num>
  <w:num w:numId="18">
    <w:abstractNumId w:val="17"/>
  </w:num>
  <w:num w:numId="19">
    <w:abstractNumId w:val="21"/>
  </w:num>
  <w:num w:numId="20">
    <w:abstractNumId w:val="14"/>
  </w:num>
  <w:num w:numId="21">
    <w:abstractNumId w:val="24"/>
  </w:num>
  <w:num w:numId="22">
    <w:abstractNumId w:val="18"/>
  </w:num>
  <w:num w:numId="23">
    <w:abstractNumId w:val="3"/>
  </w:num>
  <w:num w:numId="24">
    <w:abstractNumId w:val="2"/>
  </w:num>
  <w:num w:numId="25">
    <w:abstractNumId w:val="9"/>
  </w:num>
  <w:num w:numId="2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35BA7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B181F"/>
    <w:rsid w:val="000B2098"/>
    <w:rsid w:val="000B4AC5"/>
    <w:rsid w:val="000B511E"/>
    <w:rsid w:val="000C37CD"/>
    <w:rsid w:val="000C7AFC"/>
    <w:rsid w:val="000D2B2E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13318"/>
    <w:rsid w:val="0012211E"/>
    <w:rsid w:val="00122E01"/>
    <w:rsid w:val="0012375B"/>
    <w:rsid w:val="00131BFD"/>
    <w:rsid w:val="00134648"/>
    <w:rsid w:val="00134C3F"/>
    <w:rsid w:val="001355B6"/>
    <w:rsid w:val="00136BB1"/>
    <w:rsid w:val="00143801"/>
    <w:rsid w:val="001440D5"/>
    <w:rsid w:val="0015187C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CDB"/>
    <w:rsid w:val="001D2EB6"/>
    <w:rsid w:val="001D4562"/>
    <w:rsid w:val="001D6619"/>
    <w:rsid w:val="001E0319"/>
    <w:rsid w:val="001E1A97"/>
    <w:rsid w:val="001E587F"/>
    <w:rsid w:val="001E77A7"/>
    <w:rsid w:val="001F0384"/>
    <w:rsid w:val="001F17FC"/>
    <w:rsid w:val="001F31E6"/>
    <w:rsid w:val="00203262"/>
    <w:rsid w:val="00211743"/>
    <w:rsid w:val="00213592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3D90"/>
    <w:rsid w:val="00254BC5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18F1"/>
    <w:rsid w:val="002E39B0"/>
    <w:rsid w:val="002F729C"/>
    <w:rsid w:val="002F7976"/>
    <w:rsid w:val="00301762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0246"/>
    <w:rsid w:val="00371AFD"/>
    <w:rsid w:val="00386EBC"/>
    <w:rsid w:val="00391B22"/>
    <w:rsid w:val="00392A4A"/>
    <w:rsid w:val="00397799"/>
    <w:rsid w:val="003A0C97"/>
    <w:rsid w:val="003A48E1"/>
    <w:rsid w:val="003B7CC3"/>
    <w:rsid w:val="003B7EF6"/>
    <w:rsid w:val="003D1E57"/>
    <w:rsid w:val="003F2677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D2EDA"/>
    <w:rsid w:val="004E1009"/>
    <w:rsid w:val="004E1F8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046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2F19"/>
    <w:rsid w:val="005F4728"/>
    <w:rsid w:val="00600850"/>
    <w:rsid w:val="00600BD5"/>
    <w:rsid w:val="006043CA"/>
    <w:rsid w:val="0061173D"/>
    <w:rsid w:val="00614C11"/>
    <w:rsid w:val="00614E22"/>
    <w:rsid w:val="00621979"/>
    <w:rsid w:val="00622769"/>
    <w:rsid w:val="006315F4"/>
    <w:rsid w:val="00634815"/>
    <w:rsid w:val="00636C07"/>
    <w:rsid w:val="00642BB9"/>
    <w:rsid w:val="00643247"/>
    <w:rsid w:val="006455AD"/>
    <w:rsid w:val="0064604A"/>
    <w:rsid w:val="00650769"/>
    <w:rsid w:val="00652ECC"/>
    <w:rsid w:val="0065307F"/>
    <w:rsid w:val="00653822"/>
    <w:rsid w:val="006559CC"/>
    <w:rsid w:val="00657215"/>
    <w:rsid w:val="00657FAD"/>
    <w:rsid w:val="0066568F"/>
    <w:rsid w:val="00666AF5"/>
    <w:rsid w:val="00674010"/>
    <w:rsid w:val="00680AEA"/>
    <w:rsid w:val="0068122C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156D"/>
    <w:rsid w:val="00704183"/>
    <w:rsid w:val="00715D95"/>
    <w:rsid w:val="00722FEC"/>
    <w:rsid w:val="00723349"/>
    <w:rsid w:val="007241DD"/>
    <w:rsid w:val="007245D8"/>
    <w:rsid w:val="00731E1C"/>
    <w:rsid w:val="007325DE"/>
    <w:rsid w:val="007402CA"/>
    <w:rsid w:val="00740E7D"/>
    <w:rsid w:val="00743C1B"/>
    <w:rsid w:val="00744892"/>
    <w:rsid w:val="00746475"/>
    <w:rsid w:val="007468D2"/>
    <w:rsid w:val="0075051F"/>
    <w:rsid w:val="0075107C"/>
    <w:rsid w:val="00751A45"/>
    <w:rsid w:val="00755D11"/>
    <w:rsid w:val="00757EB3"/>
    <w:rsid w:val="00762CB4"/>
    <w:rsid w:val="00766475"/>
    <w:rsid w:val="00766CE9"/>
    <w:rsid w:val="00770484"/>
    <w:rsid w:val="00770E46"/>
    <w:rsid w:val="00772336"/>
    <w:rsid w:val="00773002"/>
    <w:rsid w:val="007817ED"/>
    <w:rsid w:val="00784F64"/>
    <w:rsid w:val="0078533E"/>
    <w:rsid w:val="007879C0"/>
    <w:rsid w:val="00791BD0"/>
    <w:rsid w:val="00795076"/>
    <w:rsid w:val="007A2826"/>
    <w:rsid w:val="007A3D41"/>
    <w:rsid w:val="007B0903"/>
    <w:rsid w:val="007B51B6"/>
    <w:rsid w:val="007B5B9E"/>
    <w:rsid w:val="007B7586"/>
    <w:rsid w:val="007B77B4"/>
    <w:rsid w:val="007C2726"/>
    <w:rsid w:val="007C3FA2"/>
    <w:rsid w:val="007C48E7"/>
    <w:rsid w:val="007C6801"/>
    <w:rsid w:val="007D320D"/>
    <w:rsid w:val="007D66F4"/>
    <w:rsid w:val="007D687B"/>
    <w:rsid w:val="007D7DF2"/>
    <w:rsid w:val="007E105C"/>
    <w:rsid w:val="007E28FB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45D83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77810"/>
    <w:rsid w:val="008813B7"/>
    <w:rsid w:val="008843D5"/>
    <w:rsid w:val="008859A0"/>
    <w:rsid w:val="00891C4E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7BDA"/>
    <w:rsid w:val="009306E0"/>
    <w:rsid w:val="009313EC"/>
    <w:rsid w:val="00931E14"/>
    <w:rsid w:val="00933DC0"/>
    <w:rsid w:val="00933E0F"/>
    <w:rsid w:val="009358D8"/>
    <w:rsid w:val="009407DD"/>
    <w:rsid w:val="00954574"/>
    <w:rsid w:val="009604A6"/>
    <w:rsid w:val="00967EE8"/>
    <w:rsid w:val="0097050B"/>
    <w:rsid w:val="00971CE4"/>
    <w:rsid w:val="00972777"/>
    <w:rsid w:val="00974D24"/>
    <w:rsid w:val="00984A0C"/>
    <w:rsid w:val="00984BF1"/>
    <w:rsid w:val="00985A2F"/>
    <w:rsid w:val="00991B77"/>
    <w:rsid w:val="00991C6C"/>
    <w:rsid w:val="009924B5"/>
    <w:rsid w:val="009956D6"/>
    <w:rsid w:val="009A5247"/>
    <w:rsid w:val="009B6B68"/>
    <w:rsid w:val="009C04C3"/>
    <w:rsid w:val="009C6091"/>
    <w:rsid w:val="009D5DC1"/>
    <w:rsid w:val="009E4722"/>
    <w:rsid w:val="009E722F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29F4"/>
    <w:rsid w:val="00A966AE"/>
    <w:rsid w:val="00AA08FD"/>
    <w:rsid w:val="00AA1B87"/>
    <w:rsid w:val="00AA2897"/>
    <w:rsid w:val="00AB1E75"/>
    <w:rsid w:val="00AB3C96"/>
    <w:rsid w:val="00AB79AC"/>
    <w:rsid w:val="00AC09C4"/>
    <w:rsid w:val="00AC0B56"/>
    <w:rsid w:val="00AC131E"/>
    <w:rsid w:val="00AC5723"/>
    <w:rsid w:val="00AC69A5"/>
    <w:rsid w:val="00AE05EB"/>
    <w:rsid w:val="00AE0DBB"/>
    <w:rsid w:val="00AE1377"/>
    <w:rsid w:val="00AE5063"/>
    <w:rsid w:val="00AE6436"/>
    <w:rsid w:val="00AF266B"/>
    <w:rsid w:val="00B022C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0D7B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01CC"/>
    <w:rsid w:val="00B91F83"/>
    <w:rsid w:val="00B969FE"/>
    <w:rsid w:val="00BA019A"/>
    <w:rsid w:val="00BA1CD4"/>
    <w:rsid w:val="00BA1D02"/>
    <w:rsid w:val="00BB13D8"/>
    <w:rsid w:val="00BC2B00"/>
    <w:rsid w:val="00BC7268"/>
    <w:rsid w:val="00BD39FB"/>
    <w:rsid w:val="00BE2758"/>
    <w:rsid w:val="00BE35AA"/>
    <w:rsid w:val="00BF25FE"/>
    <w:rsid w:val="00BF3EE7"/>
    <w:rsid w:val="00BF78F1"/>
    <w:rsid w:val="00C0359C"/>
    <w:rsid w:val="00C103F1"/>
    <w:rsid w:val="00C1660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57D8E"/>
    <w:rsid w:val="00C72BD9"/>
    <w:rsid w:val="00C74E11"/>
    <w:rsid w:val="00C86B1F"/>
    <w:rsid w:val="00C92743"/>
    <w:rsid w:val="00C927F2"/>
    <w:rsid w:val="00C94757"/>
    <w:rsid w:val="00C960DE"/>
    <w:rsid w:val="00CA1F73"/>
    <w:rsid w:val="00CA6FA2"/>
    <w:rsid w:val="00CB24C2"/>
    <w:rsid w:val="00CC2437"/>
    <w:rsid w:val="00CD26AC"/>
    <w:rsid w:val="00CE087F"/>
    <w:rsid w:val="00CE2C8B"/>
    <w:rsid w:val="00CF1C13"/>
    <w:rsid w:val="00CF71B4"/>
    <w:rsid w:val="00D04703"/>
    <w:rsid w:val="00D0696F"/>
    <w:rsid w:val="00D10D98"/>
    <w:rsid w:val="00D128B0"/>
    <w:rsid w:val="00D17FE3"/>
    <w:rsid w:val="00D21F40"/>
    <w:rsid w:val="00D23982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437"/>
    <w:rsid w:val="00D55752"/>
    <w:rsid w:val="00D604B3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1DAF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1C4"/>
    <w:rsid w:val="00E06306"/>
    <w:rsid w:val="00E12202"/>
    <w:rsid w:val="00E13A36"/>
    <w:rsid w:val="00E154EB"/>
    <w:rsid w:val="00E161DB"/>
    <w:rsid w:val="00E17DD6"/>
    <w:rsid w:val="00E2469A"/>
    <w:rsid w:val="00E32382"/>
    <w:rsid w:val="00E40762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5D6F"/>
    <w:rsid w:val="00EB6AA1"/>
    <w:rsid w:val="00EC171E"/>
    <w:rsid w:val="00EC1A90"/>
    <w:rsid w:val="00EC3A14"/>
    <w:rsid w:val="00EC5D81"/>
    <w:rsid w:val="00EC6948"/>
    <w:rsid w:val="00EC6A09"/>
    <w:rsid w:val="00ED344E"/>
    <w:rsid w:val="00EE300B"/>
    <w:rsid w:val="00EE37B5"/>
    <w:rsid w:val="00EE5A15"/>
    <w:rsid w:val="00EE7B31"/>
    <w:rsid w:val="00EF2319"/>
    <w:rsid w:val="00EF66D4"/>
    <w:rsid w:val="00EF7055"/>
    <w:rsid w:val="00F000D2"/>
    <w:rsid w:val="00F17697"/>
    <w:rsid w:val="00F3479A"/>
    <w:rsid w:val="00F35196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01ED"/>
    <w:rsid w:val="00F93680"/>
    <w:rsid w:val="00FA0083"/>
    <w:rsid w:val="00FA12D4"/>
    <w:rsid w:val="00FA14B9"/>
    <w:rsid w:val="00FA2404"/>
    <w:rsid w:val="00FA30B2"/>
    <w:rsid w:val="00FA5D9F"/>
    <w:rsid w:val="00FA759C"/>
    <w:rsid w:val="00FB0AF3"/>
    <w:rsid w:val="00FB1940"/>
    <w:rsid w:val="00FB6D36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List Paragraph - 2,List Paragraph 1,Chapter Numbering,MB SUB A,Table of contents numbered,Riana Table Bullets 1,Bullets,Outline Paragraph,Grey Bullet List,Grey Bullet Style,Dot pt,F5 List Paragraph,List Paragraph Char Char Char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ListParagraphChar">
    <w:name w:val="List Paragraph Char"/>
    <w:aliases w:val="List Paragraph - 2 Char,List Paragraph 1 Char,Chapter Numbering Char,MB SUB A Char,Table of contents numbered Char,Riana Table Bullets 1 Char,Bullets Char,Outline Paragraph Char,Grey Bullet List Char,Grey Bullet Style Char"/>
    <w:link w:val="ListParagraph"/>
    <w:uiPriority w:val="34"/>
    <w:rsid w:val="004E1F89"/>
    <w:rPr>
      <w:sz w:val="24"/>
      <w:szCs w:val="24"/>
      <w:lang w:val="en-US" w:eastAsia="en-US"/>
    </w:rPr>
  </w:style>
  <w:style w:type="paragraph" w:customStyle="1" w:styleId="Default">
    <w:name w:val="Default"/>
    <w:rsid w:val="003702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USER</cp:lastModifiedBy>
  <cp:revision>2</cp:revision>
  <cp:lastPrinted>2021-03-17T15:12:00Z</cp:lastPrinted>
  <dcterms:created xsi:type="dcterms:W3CDTF">2021-08-04T12:43:00Z</dcterms:created>
  <dcterms:modified xsi:type="dcterms:W3CDTF">2021-08-04T12:43:00Z</dcterms:modified>
</cp:coreProperties>
</file>