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pPr>
        <w:rPr>
          <w:sz w:val="20"/>
          <w:szCs w:val="20"/>
        </w:rPr>
      </w:pPr>
    </w:p>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685066" w:rsidRDefault="00685066" w:rsidP="00685066">
      <w:pPr>
        <w:rPr>
          <w:rFonts w:ascii="Tahoma" w:hAnsi="Tahoma" w:cs="Tahoma"/>
          <w:b/>
          <w:bCs/>
          <w:sz w:val="22"/>
          <w:szCs w:val="22"/>
        </w:rPr>
      </w:pPr>
    </w:p>
    <w:p w:rsidR="008960B2" w:rsidRPr="00987C9F" w:rsidRDefault="008960B2" w:rsidP="00685066">
      <w:pP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6F5849">
        <w:rPr>
          <w:rFonts w:ascii="Tahoma" w:hAnsi="Tahoma" w:cs="Tahoma"/>
          <w:b/>
          <w:bCs/>
          <w:sz w:val="22"/>
          <w:szCs w:val="22"/>
          <w:lang w:val="en-ZA"/>
        </w:rPr>
        <w:t>1262</w:t>
      </w:r>
    </w:p>
    <w:p w:rsidR="008960B2" w:rsidRPr="00987C9F" w:rsidRDefault="008960B2" w:rsidP="008960B2">
      <w:pPr>
        <w:rPr>
          <w:rFonts w:ascii="Tahoma" w:hAnsi="Tahoma" w:cs="Tahoma"/>
          <w:b/>
          <w:bCs/>
          <w:sz w:val="22"/>
          <w:szCs w:val="22"/>
          <w:lang w:val="en-ZA"/>
        </w:rPr>
      </w:pPr>
    </w:p>
    <w:p w:rsidR="006F5849" w:rsidRPr="006F5849" w:rsidRDefault="006F5849" w:rsidP="006F5849">
      <w:pPr>
        <w:spacing w:before="100" w:beforeAutospacing="1" w:after="100" w:afterAutospacing="1" w:line="360" w:lineRule="auto"/>
        <w:jc w:val="both"/>
        <w:outlineLvl w:val="0"/>
        <w:rPr>
          <w:rFonts w:ascii="Arial" w:hAnsi="Arial" w:cs="Arial"/>
          <w:bCs/>
          <w:sz w:val="22"/>
          <w:szCs w:val="22"/>
        </w:rPr>
      </w:pPr>
      <w:r w:rsidRPr="006F5849">
        <w:rPr>
          <w:rFonts w:ascii="Arial" w:hAnsi="Arial" w:cs="Arial"/>
          <w:bCs/>
          <w:sz w:val="22"/>
          <w:szCs w:val="22"/>
        </w:rPr>
        <w:t>1262.   Ms N W A Mazzone (DA) to ask the Minister of Public Enterprises:</w:t>
      </w:r>
    </w:p>
    <w:p w:rsidR="006F5849" w:rsidRPr="006F5849" w:rsidRDefault="006F5849" w:rsidP="006F5849">
      <w:pPr>
        <w:spacing w:before="100" w:beforeAutospacing="1" w:after="100" w:afterAutospacing="1" w:line="360" w:lineRule="auto"/>
        <w:jc w:val="both"/>
        <w:outlineLvl w:val="0"/>
        <w:rPr>
          <w:rFonts w:ascii="Arial" w:hAnsi="Arial" w:cs="Arial"/>
          <w:bCs/>
          <w:sz w:val="22"/>
          <w:szCs w:val="22"/>
        </w:rPr>
      </w:pPr>
      <w:r w:rsidRPr="006F5849">
        <w:rPr>
          <w:rFonts w:ascii="Arial" w:hAnsi="Arial" w:cs="Arial"/>
          <w:bCs/>
          <w:sz w:val="22"/>
          <w:szCs w:val="22"/>
        </w:rPr>
        <w:t xml:space="preserve">(1)        (a) Are all four units of the Ingula Pumped Storage Scheme operational currently, </w:t>
      </w:r>
      <w:r>
        <w:rPr>
          <w:rFonts w:ascii="Arial" w:hAnsi="Arial" w:cs="Arial"/>
          <w:bCs/>
          <w:sz w:val="22"/>
          <w:szCs w:val="22"/>
        </w:rPr>
        <w:tab/>
      </w:r>
      <w:r w:rsidRPr="006F5849">
        <w:rPr>
          <w:rFonts w:ascii="Arial" w:hAnsi="Arial" w:cs="Arial"/>
          <w:bCs/>
          <w:sz w:val="22"/>
          <w:szCs w:val="22"/>
        </w:rPr>
        <w:t xml:space="preserve">(b) how long have they been operational and (c) how much power is provided by </w:t>
      </w:r>
      <w:r>
        <w:rPr>
          <w:rFonts w:ascii="Arial" w:hAnsi="Arial" w:cs="Arial"/>
          <w:bCs/>
          <w:sz w:val="22"/>
          <w:szCs w:val="22"/>
        </w:rPr>
        <w:tab/>
      </w:r>
      <w:r w:rsidRPr="006F5849">
        <w:rPr>
          <w:rFonts w:ascii="Arial" w:hAnsi="Arial" w:cs="Arial"/>
          <w:bCs/>
          <w:sz w:val="22"/>
          <w:szCs w:val="22"/>
        </w:rPr>
        <w:t>each unit;</w:t>
      </w:r>
    </w:p>
    <w:p w:rsidR="006F5849" w:rsidRPr="006F5849" w:rsidRDefault="006F5849" w:rsidP="006F5849">
      <w:pPr>
        <w:spacing w:before="100" w:beforeAutospacing="1" w:after="100" w:afterAutospacing="1" w:line="360" w:lineRule="auto"/>
        <w:jc w:val="both"/>
        <w:outlineLvl w:val="0"/>
        <w:rPr>
          <w:rFonts w:ascii="Arial" w:hAnsi="Arial" w:cs="Arial"/>
          <w:bCs/>
          <w:sz w:val="22"/>
          <w:szCs w:val="22"/>
        </w:rPr>
      </w:pPr>
      <w:r w:rsidRPr="006F5849">
        <w:rPr>
          <w:rFonts w:ascii="Arial" w:hAnsi="Arial" w:cs="Arial"/>
          <w:bCs/>
          <w:sz w:val="22"/>
          <w:szCs w:val="22"/>
        </w:rPr>
        <w:t xml:space="preserve">(2)      (a) what was the total cost of the scheme, (b) what was the original budgeted </w:t>
      </w:r>
      <w:r>
        <w:rPr>
          <w:rFonts w:ascii="Arial" w:hAnsi="Arial" w:cs="Arial"/>
          <w:bCs/>
          <w:sz w:val="22"/>
          <w:szCs w:val="22"/>
        </w:rPr>
        <w:tab/>
      </w:r>
      <w:r w:rsidRPr="006F5849">
        <w:rPr>
          <w:rFonts w:ascii="Arial" w:hAnsi="Arial" w:cs="Arial"/>
          <w:bCs/>
          <w:sz w:val="22"/>
          <w:szCs w:val="22"/>
        </w:rPr>
        <w:t xml:space="preserve">amount for the scheme, (c) what was the original estimated time frame to complete </w:t>
      </w:r>
      <w:r>
        <w:rPr>
          <w:rFonts w:ascii="Arial" w:hAnsi="Arial" w:cs="Arial"/>
          <w:bCs/>
          <w:sz w:val="22"/>
          <w:szCs w:val="22"/>
        </w:rPr>
        <w:tab/>
      </w:r>
      <w:r w:rsidRPr="006F5849">
        <w:rPr>
          <w:rFonts w:ascii="Arial" w:hAnsi="Arial" w:cs="Arial"/>
          <w:bCs/>
          <w:sz w:val="22"/>
          <w:szCs w:val="22"/>
        </w:rPr>
        <w:t xml:space="preserve">the scheme, (d) how long did the scheme actually take to complete, (e) who was </w:t>
      </w:r>
      <w:r>
        <w:rPr>
          <w:rFonts w:ascii="Arial" w:hAnsi="Arial" w:cs="Arial"/>
          <w:bCs/>
          <w:sz w:val="22"/>
          <w:szCs w:val="22"/>
        </w:rPr>
        <w:tab/>
      </w:r>
      <w:r w:rsidRPr="006F5849">
        <w:rPr>
          <w:rFonts w:ascii="Arial" w:hAnsi="Arial" w:cs="Arial"/>
          <w:bCs/>
          <w:sz w:val="22"/>
          <w:szCs w:val="22"/>
        </w:rPr>
        <w:t xml:space="preserve">the main contractor for the scheme and (f) what amount was paid to this contractor </w:t>
      </w:r>
      <w:r>
        <w:rPr>
          <w:rFonts w:ascii="Arial" w:hAnsi="Arial" w:cs="Arial"/>
          <w:bCs/>
          <w:sz w:val="22"/>
          <w:szCs w:val="22"/>
        </w:rPr>
        <w:tab/>
      </w:r>
      <w:r w:rsidRPr="006F5849">
        <w:rPr>
          <w:rFonts w:ascii="Arial" w:hAnsi="Arial" w:cs="Arial"/>
          <w:bCs/>
          <w:sz w:val="22"/>
          <w:szCs w:val="22"/>
        </w:rPr>
        <w:t>for work done on the scheme;</w:t>
      </w:r>
    </w:p>
    <w:p w:rsidR="00D66367" w:rsidRDefault="006F5849" w:rsidP="006F5849">
      <w:pPr>
        <w:spacing w:before="100" w:beforeAutospacing="1" w:after="100" w:afterAutospacing="1" w:line="360" w:lineRule="auto"/>
        <w:jc w:val="both"/>
        <w:outlineLvl w:val="0"/>
        <w:rPr>
          <w:rFonts w:ascii="Arial" w:hAnsi="Arial" w:cs="Arial"/>
          <w:bCs/>
          <w:sz w:val="22"/>
          <w:szCs w:val="22"/>
        </w:rPr>
      </w:pPr>
      <w:r w:rsidRPr="006F5849">
        <w:rPr>
          <w:rFonts w:ascii="Arial" w:hAnsi="Arial" w:cs="Arial"/>
          <w:bCs/>
          <w:sz w:val="22"/>
          <w:szCs w:val="22"/>
        </w:rPr>
        <w:t>(3)        is the contract under forensic investigation by Eskom; if not, why not?</w:t>
      </w:r>
      <w:r w:rsidR="00D54B76" w:rsidRPr="00D54B76">
        <w:rPr>
          <w:rFonts w:ascii="Arial" w:hAnsi="Arial" w:cs="Arial"/>
          <w:bCs/>
          <w:sz w:val="22"/>
          <w:szCs w:val="22"/>
        </w:rPr>
        <w:t xml:space="preserve">       </w:t>
      </w:r>
      <w:r w:rsidR="00D66367" w:rsidRPr="00D66367">
        <w:rPr>
          <w:rFonts w:ascii="Arial" w:hAnsi="Arial" w:cs="Arial"/>
          <w:bCs/>
          <w:sz w:val="22"/>
          <w:szCs w:val="22"/>
        </w:rPr>
        <w:t xml:space="preserve">                  </w:t>
      </w:r>
    </w:p>
    <w:p w:rsidR="00170AB9" w:rsidRPr="00D66367" w:rsidRDefault="00D35463" w:rsidP="00D66367">
      <w:pPr>
        <w:spacing w:before="100" w:beforeAutospacing="1" w:after="100" w:afterAutospacing="1" w:line="360" w:lineRule="auto"/>
        <w:jc w:val="both"/>
        <w:outlineLvl w:val="0"/>
        <w:rPr>
          <w:rFonts w:ascii="Arial" w:hAnsi="Arial" w:cs="Arial"/>
          <w:bCs/>
          <w:sz w:val="22"/>
          <w:szCs w:val="22"/>
        </w:rPr>
      </w:pPr>
      <w:r w:rsidRPr="00C37ADA">
        <w:rPr>
          <w:rFonts w:ascii="Arial" w:hAnsi="Arial" w:cs="Arial"/>
          <w:b/>
          <w:sz w:val="22"/>
          <w:szCs w:val="22"/>
          <w:u w:val="single"/>
        </w:rPr>
        <w:t>REPLY:</w:t>
      </w:r>
    </w:p>
    <w:p w:rsidR="006C5A5E" w:rsidRDefault="006C5A5E" w:rsidP="006C5A5E">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According to the information received from Eskom</w:t>
      </w: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 xml:space="preserve">(1)(a) </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Yes, all 4 Ingula units are in commercial operation</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(1)(b)</w:t>
      </w:r>
    </w:p>
    <w:p w:rsidR="0000628F" w:rsidRPr="00730C3D" w:rsidRDefault="0000628F" w:rsidP="0000628F">
      <w:pPr>
        <w:widowControl w:val="0"/>
        <w:suppressAutoHyphens/>
        <w:rPr>
          <w:rFonts w:ascii="Arial" w:eastAsia="PMingLiU" w:hAnsi="Arial" w:cs="Arial"/>
          <w:bCs/>
          <w:iCs/>
          <w:sz w:val="22"/>
          <w:szCs w:val="22"/>
          <w:lang w:eastAsia="ar-SA"/>
        </w:rPr>
      </w:pPr>
      <w:r w:rsidRPr="00730C3D">
        <w:rPr>
          <w:rFonts w:ascii="Arial" w:eastAsia="PMingLiU" w:hAnsi="Arial" w:cs="Arial"/>
          <w:bCs/>
          <w:iCs/>
          <w:sz w:val="22"/>
          <w:szCs w:val="22"/>
          <w:lang w:eastAsia="ar-SA"/>
        </w:rPr>
        <w:t>Each unit has been operational for between 1 and 2 years, as indicated in the table below.</w:t>
      </w:r>
    </w:p>
    <w:p w:rsidR="0000628F" w:rsidRPr="00730C3D" w:rsidRDefault="0000628F" w:rsidP="0000628F">
      <w:pPr>
        <w:widowControl w:val="0"/>
        <w:suppressAutoHyphens/>
        <w:rPr>
          <w:rFonts w:ascii="Arial" w:eastAsia="PMingLiU" w:hAnsi="Arial" w:cs="Arial"/>
          <w:bCs/>
          <w:iCs/>
          <w:sz w:val="22"/>
          <w:szCs w:val="22"/>
          <w:lang w:eastAsia="ar-SA"/>
        </w:rPr>
      </w:pPr>
    </w:p>
    <w:p w:rsidR="0000628F" w:rsidRPr="005B7BF5" w:rsidRDefault="0000628F" w:rsidP="0000628F">
      <w:pPr>
        <w:pStyle w:val="Caption"/>
        <w:keepNext/>
        <w:rPr>
          <w:rFonts w:ascii="Arial" w:hAnsi="Arial" w:cs="Arial"/>
          <w:i w:val="0"/>
          <w:color w:val="auto"/>
          <w:sz w:val="20"/>
          <w:szCs w:val="20"/>
        </w:rPr>
      </w:pPr>
      <w:r w:rsidRPr="005B7BF5">
        <w:rPr>
          <w:rFonts w:ascii="Arial" w:hAnsi="Arial" w:cs="Arial"/>
          <w:i w:val="0"/>
          <w:color w:val="auto"/>
          <w:sz w:val="20"/>
          <w:szCs w:val="20"/>
        </w:rPr>
        <w:t xml:space="preserve">Table </w:t>
      </w:r>
      <w:r w:rsidRPr="005B7BF5">
        <w:rPr>
          <w:rFonts w:ascii="Arial" w:hAnsi="Arial" w:cs="Arial"/>
          <w:i w:val="0"/>
          <w:color w:val="auto"/>
          <w:sz w:val="20"/>
          <w:szCs w:val="20"/>
        </w:rPr>
        <w:fldChar w:fldCharType="begin"/>
      </w:r>
      <w:r w:rsidRPr="005B7BF5">
        <w:rPr>
          <w:rFonts w:ascii="Arial" w:hAnsi="Arial" w:cs="Arial"/>
          <w:i w:val="0"/>
          <w:color w:val="auto"/>
          <w:sz w:val="20"/>
          <w:szCs w:val="20"/>
        </w:rPr>
        <w:instrText xml:space="preserve"> SEQ Table \* ARABIC </w:instrText>
      </w:r>
      <w:r w:rsidRPr="005B7BF5">
        <w:rPr>
          <w:rFonts w:ascii="Arial" w:hAnsi="Arial" w:cs="Arial"/>
          <w:i w:val="0"/>
          <w:color w:val="auto"/>
          <w:sz w:val="20"/>
          <w:szCs w:val="20"/>
        </w:rPr>
        <w:fldChar w:fldCharType="separate"/>
      </w:r>
      <w:r>
        <w:rPr>
          <w:rFonts w:ascii="Arial" w:hAnsi="Arial" w:cs="Arial"/>
          <w:i w:val="0"/>
          <w:noProof/>
          <w:color w:val="auto"/>
          <w:sz w:val="20"/>
          <w:szCs w:val="20"/>
        </w:rPr>
        <w:t>1</w:t>
      </w:r>
      <w:r w:rsidRPr="005B7BF5">
        <w:rPr>
          <w:rFonts w:ascii="Arial" w:hAnsi="Arial" w:cs="Arial"/>
          <w:i w:val="0"/>
          <w:color w:val="auto"/>
          <w:sz w:val="20"/>
          <w:szCs w:val="20"/>
        </w:rPr>
        <w:fldChar w:fldCharType="end"/>
      </w:r>
      <w:r w:rsidRPr="005B7BF5">
        <w:rPr>
          <w:rFonts w:ascii="Arial" w:hAnsi="Arial" w:cs="Arial"/>
          <w:i w:val="0"/>
          <w:color w:val="auto"/>
          <w:sz w:val="20"/>
          <w:szCs w:val="20"/>
        </w:rPr>
        <w:t>:  Commercial operation dates for each unit at Ingula</w:t>
      </w:r>
    </w:p>
    <w:tbl>
      <w:tblPr>
        <w:tblStyle w:val="LightList-Accent1"/>
        <w:tblW w:w="5812" w:type="dxa"/>
        <w:tblInd w:w="675" w:type="dxa"/>
        <w:tblLook w:val="04A0" w:firstRow="1" w:lastRow="0" w:firstColumn="1" w:lastColumn="0" w:noHBand="0" w:noVBand="1"/>
      </w:tblPr>
      <w:tblGrid>
        <w:gridCol w:w="1418"/>
        <w:gridCol w:w="4394"/>
      </w:tblGrid>
      <w:tr w:rsidR="0000628F" w:rsidRPr="005B7BF5" w:rsidTr="00822A0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18" w:type="dxa"/>
          </w:tcPr>
          <w:p w:rsidR="0000628F" w:rsidRPr="005B7BF5" w:rsidRDefault="0000628F" w:rsidP="00822A0D">
            <w:pPr>
              <w:jc w:val="both"/>
              <w:rPr>
                <w:rFonts w:ascii="Arial" w:hAnsi="Arial" w:cs="Arial"/>
                <w:iCs/>
                <w:sz w:val="22"/>
                <w:szCs w:val="22"/>
              </w:rPr>
            </w:pPr>
            <w:r w:rsidRPr="005B7BF5">
              <w:rPr>
                <w:rFonts w:ascii="Arial" w:hAnsi="Arial" w:cs="Arial"/>
                <w:iCs/>
                <w:sz w:val="22"/>
                <w:szCs w:val="22"/>
              </w:rPr>
              <w:t>Unit</w:t>
            </w:r>
          </w:p>
        </w:tc>
        <w:tc>
          <w:tcPr>
            <w:tcW w:w="4394" w:type="dxa"/>
          </w:tcPr>
          <w:p w:rsidR="0000628F" w:rsidRPr="005B7BF5" w:rsidRDefault="0000628F" w:rsidP="00822A0D">
            <w:pPr>
              <w:jc w:val="both"/>
              <w:cnfStyle w:val="100000000000" w:firstRow="1" w:lastRow="0" w:firstColumn="0" w:lastColumn="0" w:oddVBand="0" w:evenVBand="0" w:oddHBand="0" w:evenHBand="0" w:firstRowFirstColumn="0" w:firstRowLastColumn="0" w:lastRowFirstColumn="0" w:lastRowLastColumn="0"/>
              <w:rPr>
                <w:rFonts w:ascii="Arial" w:hAnsi="Arial" w:cs="Arial"/>
                <w:iCs/>
                <w:sz w:val="22"/>
                <w:szCs w:val="22"/>
              </w:rPr>
            </w:pPr>
            <w:r w:rsidRPr="005B7BF5">
              <w:rPr>
                <w:rFonts w:ascii="Arial" w:hAnsi="Arial" w:cs="Arial"/>
                <w:iCs/>
                <w:sz w:val="22"/>
                <w:szCs w:val="22"/>
              </w:rPr>
              <w:t>Commercial Operation Date</w:t>
            </w:r>
          </w:p>
        </w:tc>
      </w:tr>
      <w:tr w:rsidR="0000628F" w:rsidRPr="005B7BF5" w:rsidTr="00822A0D">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418" w:type="dxa"/>
          </w:tcPr>
          <w:p w:rsidR="0000628F" w:rsidRPr="005B7BF5" w:rsidRDefault="0000628F" w:rsidP="00822A0D">
            <w:pPr>
              <w:jc w:val="both"/>
              <w:rPr>
                <w:rFonts w:ascii="Arial" w:hAnsi="Arial" w:cs="Arial"/>
                <w:b w:val="0"/>
                <w:iCs/>
                <w:sz w:val="22"/>
                <w:szCs w:val="22"/>
              </w:rPr>
            </w:pPr>
            <w:r w:rsidRPr="005B7BF5">
              <w:rPr>
                <w:rFonts w:ascii="Arial" w:hAnsi="Arial" w:cs="Arial"/>
                <w:b w:val="0"/>
                <w:iCs/>
                <w:sz w:val="22"/>
                <w:szCs w:val="22"/>
              </w:rPr>
              <w:t>Unit 1</w:t>
            </w:r>
          </w:p>
        </w:tc>
        <w:tc>
          <w:tcPr>
            <w:tcW w:w="4394" w:type="dxa"/>
          </w:tcPr>
          <w:p w:rsidR="0000628F" w:rsidRPr="005B7BF5" w:rsidRDefault="0000628F" w:rsidP="00822A0D">
            <w:pP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5B7BF5">
              <w:rPr>
                <w:rFonts w:ascii="Arial" w:hAnsi="Arial" w:cs="Arial"/>
                <w:iCs/>
                <w:sz w:val="22"/>
                <w:szCs w:val="22"/>
              </w:rPr>
              <w:t>30 August 2016</w:t>
            </w:r>
          </w:p>
        </w:tc>
      </w:tr>
      <w:tr w:rsidR="0000628F" w:rsidRPr="005B7BF5" w:rsidTr="00822A0D">
        <w:trPr>
          <w:trHeight w:val="213"/>
        </w:trPr>
        <w:tc>
          <w:tcPr>
            <w:cnfStyle w:val="001000000000" w:firstRow="0" w:lastRow="0" w:firstColumn="1" w:lastColumn="0" w:oddVBand="0" w:evenVBand="0" w:oddHBand="0" w:evenHBand="0" w:firstRowFirstColumn="0" w:firstRowLastColumn="0" w:lastRowFirstColumn="0" w:lastRowLastColumn="0"/>
            <w:tcW w:w="1418" w:type="dxa"/>
          </w:tcPr>
          <w:p w:rsidR="0000628F" w:rsidRPr="005B7BF5" w:rsidRDefault="0000628F" w:rsidP="00822A0D">
            <w:pPr>
              <w:jc w:val="both"/>
              <w:rPr>
                <w:rFonts w:ascii="Arial" w:hAnsi="Arial" w:cs="Arial"/>
                <w:b w:val="0"/>
                <w:iCs/>
                <w:sz w:val="22"/>
                <w:szCs w:val="22"/>
              </w:rPr>
            </w:pPr>
            <w:r w:rsidRPr="005B7BF5">
              <w:rPr>
                <w:rFonts w:ascii="Arial" w:hAnsi="Arial" w:cs="Arial"/>
                <w:b w:val="0"/>
                <w:iCs/>
                <w:sz w:val="22"/>
                <w:szCs w:val="22"/>
              </w:rPr>
              <w:t>Unit 2</w:t>
            </w:r>
          </w:p>
        </w:tc>
        <w:tc>
          <w:tcPr>
            <w:tcW w:w="4394" w:type="dxa"/>
          </w:tcPr>
          <w:p w:rsidR="0000628F" w:rsidRPr="005B7BF5" w:rsidRDefault="0000628F" w:rsidP="00822A0D">
            <w:pP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B7BF5">
              <w:rPr>
                <w:rFonts w:ascii="Arial" w:hAnsi="Arial" w:cs="Arial"/>
                <w:iCs/>
                <w:sz w:val="22"/>
                <w:szCs w:val="22"/>
              </w:rPr>
              <w:t>22 August 2016</w:t>
            </w:r>
          </w:p>
        </w:tc>
      </w:tr>
      <w:tr w:rsidR="0000628F" w:rsidRPr="005B7BF5" w:rsidTr="00822A0D">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418" w:type="dxa"/>
          </w:tcPr>
          <w:p w:rsidR="0000628F" w:rsidRPr="005B7BF5" w:rsidRDefault="0000628F" w:rsidP="00822A0D">
            <w:pPr>
              <w:jc w:val="both"/>
              <w:rPr>
                <w:rFonts w:ascii="Arial" w:hAnsi="Arial" w:cs="Arial"/>
                <w:b w:val="0"/>
                <w:iCs/>
                <w:sz w:val="22"/>
                <w:szCs w:val="22"/>
              </w:rPr>
            </w:pPr>
            <w:r w:rsidRPr="005B7BF5">
              <w:rPr>
                <w:rFonts w:ascii="Arial" w:hAnsi="Arial" w:cs="Arial"/>
                <w:b w:val="0"/>
                <w:iCs/>
                <w:sz w:val="22"/>
                <w:szCs w:val="22"/>
              </w:rPr>
              <w:t>Unit 3</w:t>
            </w:r>
          </w:p>
        </w:tc>
        <w:tc>
          <w:tcPr>
            <w:tcW w:w="4394" w:type="dxa"/>
          </w:tcPr>
          <w:p w:rsidR="0000628F" w:rsidRPr="005B7BF5" w:rsidRDefault="0000628F" w:rsidP="00822A0D">
            <w:pPr>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5B7BF5">
              <w:rPr>
                <w:rFonts w:ascii="Arial" w:hAnsi="Arial" w:cs="Arial"/>
                <w:iCs/>
                <w:sz w:val="22"/>
                <w:szCs w:val="22"/>
              </w:rPr>
              <w:t>30 January 2017</w:t>
            </w:r>
          </w:p>
        </w:tc>
      </w:tr>
      <w:tr w:rsidR="0000628F" w:rsidRPr="005B7BF5" w:rsidTr="00822A0D">
        <w:trPr>
          <w:trHeight w:val="225"/>
        </w:trPr>
        <w:tc>
          <w:tcPr>
            <w:cnfStyle w:val="001000000000" w:firstRow="0" w:lastRow="0" w:firstColumn="1" w:lastColumn="0" w:oddVBand="0" w:evenVBand="0" w:oddHBand="0" w:evenHBand="0" w:firstRowFirstColumn="0" w:firstRowLastColumn="0" w:lastRowFirstColumn="0" w:lastRowLastColumn="0"/>
            <w:tcW w:w="1418" w:type="dxa"/>
          </w:tcPr>
          <w:p w:rsidR="0000628F" w:rsidRPr="005B7BF5" w:rsidRDefault="0000628F" w:rsidP="00822A0D">
            <w:pPr>
              <w:jc w:val="both"/>
              <w:rPr>
                <w:rFonts w:ascii="Arial" w:hAnsi="Arial" w:cs="Arial"/>
                <w:b w:val="0"/>
                <w:iCs/>
                <w:sz w:val="22"/>
                <w:szCs w:val="22"/>
              </w:rPr>
            </w:pPr>
            <w:r w:rsidRPr="005B7BF5">
              <w:rPr>
                <w:rFonts w:ascii="Arial" w:hAnsi="Arial" w:cs="Arial"/>
                <w:b w:val="0"/>
                <w:iCs/>
                <w:sz w:val="22"/>
                <w:szCs w:val="22"/>
              </w:rPr>
              <w:t>Unit 4</w:t>
            </w:r>
          </w:p>
        </w:tc>
        <w:tc>
          <w:tcPr>
            <w:tcW w:w="4394" w:type="dxa"/>
          </w:tcPr>
          <w:p w:rsidR="0000628F" w:rsidRPr="005B7BF5" w:rsidRDefault="0000628F" w:rsidP="00822A0D">
            <w:pP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B7BF5">
              <w:rPr>
                <w:rFonts w:ascii="Arial" w:hAnsi="Arial" w:cs="Arial"/>
                <w:iCs/>
                <w:sz w:val="22"/>
                <w:szCs w:val="22"/>
              </w:rPr>
              <w:t>10 June 2016</w:t>
            </w:r>
          </w:p>
        </w:tc>
      </w:tr>
    </w:tbl>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(1)(c)</w:t>
      </w:r>
    </w:p>
    <w:p w:rsidR="0000628F"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Each unit is rated at a maximum continuous rating of 333 megawatts (MW)</w:t>
      </w:r>
      <w:r>
        <w:rPr>
          <w:rFonts w:ascii="Arial" w:eastAsia="PMingLiU" w:hAnsi="Arial" w:cs="Arial"/>
          <w:bCs/>
          <w:iCs/>
          <w:sz w:val="22"/>
          <w:szCs w:val="22"/>
          <w:lang w:eastAsia="ar-SA"/>
        </w:rPr>
        <w:t>.</w:t>
      </w:r>
    </w:p>
    <w:p w:rsidR="0000628F" w:rsidRDefault="0000628F" w:rsidP="0000628F">
      <w:pPr>
        <w:spacing w:line="360" w:lineRule="auto"/>
        <w:jc w:val="both"/>
        <w:rPr>
          <w:rFonts w:ascii="Arial" w:hAnsi="Arial" w:cs="Arial"/>
          <w:sz w:val="22"/>
          <w:szCs w:val="22"/>
        </w:rPr>
      </w:pPr>
    </w:p>
    <w:p w:rsidR="0000628F" w:rsidRDefault="0000628F" w:rsidP="0000628F">
      <w:pPr>
        <w:spacing w:line="360" w:lineRule="auto"/>
        <w:jc w:val="both"/>
        <w:rPr>
          <w:rFonts w:ascii="Arial" w:hAnsi="Arial" w:cs="Arial"/>
          <w:sz w:val="22"/>
          <w:szCs w:val="22"/>
        </w:rPr>
      </w:pPr>
      <w:r w:rsidRPr="00576316">
        <w:rPr>
          <w:rFonts w:ascii="Arial" w:hAnsi="Arial" w:cs="Arial"/>
          <w:sz w:val="22"/>
          <w:szCs w:val="22"/>
        </w:rPr>
        <w:t xml:space="preserve">In terms of the actual production of power per unit, the following should be noted: </w:t>
      </w:r>
    </w:p>
    <w:p w:rsidR="0000628F" w:rsidRPr="00576316" w:rsidRDefault="0000628F" w:rsidP="0000628F">
      <w:pPr>
        <w:pStyle w:val="ListParagraph"/>
        <w:numPr>
          <w:ilvl w:val="0"/>
          <w:numId w:val="17"/>
        </w:numPr>
        <w:spacing w:line="360" w:lineRule="auto"/>
        <w:jc w:val="both"/>
        <w:rPr>
          <w:rFonts w:ascii="Arial" w:hAnsi="Arial" w:cs="Arial"/>
          <w:sz w:val="22"/>
          <w:szCs w:val="22"/>
        </w:rPr>
      </w:pPr>
      <w:r w:rsidRPr="00576316">
        <w:rPr>
          <w:rFonts w:ascii="Arial" w:hAnsi="Arial" w:cs="Arial"/>
          <w:sz w:val="22"/>
          <w:szCs w:val="22"/>
        </w:rPr>
        <w:t xml:space="preserve">Ingula has two waterways, each supplying water to two of the four units.  Due to </w:t>
      </w:r>
      <w:r w:rsidR="00685066">
        <w:rPr>
          <w:rFonts w:ascii="Arial" w:hAnsi="Arial" w:cs="Arial"/>
          <w:sz w:val="22"/>
          <w:szCs w:val="22"/>
        </w:rPr>
        <w:t>the possibility of excessive build-up of pressure</w:t>
      </w:r>
      <w:r w:rsidRPr="00576316">
        <w:rPr>
          <w:rFonts w:ascii="Arial" w:hAnsi="Arial" w:cs="Arial"/>
          <w:sz w:val="22"/>
          <w:szCs w:val="22"/>
        </w:rPr>
        <w:t xml:space="preserve">, two units with a common waterway are restricted to less than full power when running simultaneously, but two units on different waterways are able to generate at full capacity.  Thus, if all four units are required to generate at the same time, each has to reduce output by approximately 50MW. </w:t>
      </w:r>
    </w:p>
    <w:p w:rsidR="0000628F" w:rsidRPr="00576316" w:rsidRDefault="0000628F" w:rsidP="0000628F">
      <w:pPr>
        <w:pStyle w:val="ListParagraph"/>
        <w:numPr>
          <w:ilvl w:val="0"/>
          <w:numId w:val="17"/>
        </w:numPr>
        <w:spacing w:line="360" w:lineRule="auto"/>
        <w:jc w:val="both"/>
        <w:rPr>
          <w:rFonts w:ascii="Arial" w:hAnsi="Arial" w:cs="Arial"/>
          <w:sz w:val="22"/>
          <w:szCs w:val="22"/>
        </w:rPr>
      </w:pPr>
      <w:r w:rsidRPr="00576316">
        <w:rPr>
          <w:rFonts w:ascii="Arial" w:hAnsi="Arial" w:cs="Arial"/>
          <w:sz w:val="22"/>
          <w:szCs w:val="22"/>
        </w:rPr>
        <w:t>A design modification to address the issue is planned for implementation during the upcoming 2018 outages.</w:t>
      </w: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(2)(a)</w:t>
      </w:r>
    </w:p>
    <w:p w:rsidR="0000628F" w:rsidRPr="005B11F9" w:rsidRDefault="0000628F" w:rsidP="0000628F">
      <w:pPr>
        <w:widowControl w:val="0"/>
        <w:suppressAutoHyphens/>
        <w:spacing w:line="360" w:lineRule="auto"/>
        <w:jc w:val="both"/>
        <w:rPr>
          <w:rFonts w:ascii="Arial" w:eastAsia="PMingLiU" w:hAnsi="Arial" w:cs="Arial"/>
          <w:bCs/>
          <w:iCs/>
          <w:sz w:val="22"/>
          <w:szCs w:val="22"/>
          <w:lang w:eastAsia="ar-SA"/>
        </w:rPr>
      </w:pPr>
      <w:r w:rsidRPr="005B11F9">
        <w:rPr>
          <w:rFonts w:ascii="Arial" w:eastAsia="PMingLiU" w:hAnsi="Arial" w:cs="Arial"/>
          <w:bCs/>
          <w:iCs/>
          <w:sz w:val="22"/>
          <w:szCs w:val="22"/>
          <w:lang w:eastAsia="ar-SA"/>
        </w:rPr>
        <w:t>As at 30 March 2018, R29.5 billion (excluding interest during construction) has been spent on the scheme, against an approved business case value of R29.8 billion (excluding interest during construction)</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(2)(b)</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R8.5 billion (excluding interest during construction)</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(2)(c)</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The original estimated time frame to complete the scheme was 6 years and 8 months</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(2)(d)</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The scheme actually took 10 years and 9 months to complete</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(2)(e)</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The main contractor for the scheme was CMI-JV (CMC di Revenna, PG Mavundla and Impregilo Joint Venture)</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bookmarkStart w:id="0" w:name="_GoBack"/>
      <w:bookmarkEnd w:id="0"/>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Default="0000628F" w:rsidP="0000628F">
      <w:pPr>
        <w:widowControl w:val="0"/>
        <w:suppressAutoHyphens/>
        <w:spacing w:line="360" w:lineRule="auto"/>
        <w:rPr>
          <w:rFonts w:ascii="Arial" w:eastAsia="PMingLiU" w:hAnsi="Arial" w:cs="Arial"/>
          <w:b/>
          <w:bCs/>
          <w:iCs/>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lastRenderedPageBreak/>
        <w:t>(2)(f)</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The amount paid to this contractor for work done on the scheme is R14 959 205 944.36 (excluding VAT)</w:t>
      </w:r>
      <w:r>
        <w:rPr>
          <w:rFonts w:ascii="Arial" w:eastAsia="PMingLiU" w:hAnsi="Arial" w:cs="Arial"/>
          <w:bCs/>
          <w:iCs/>
          <w:sz w:val="22"/>
          <w:szCs w:val="22"/>
          <w:lang w:eastAsia="ar-SA"/>
        </w:rPr>
        <w:t>.</w:t>
      </w:r>
    </w:p>
    <w:p w:rsidR="0000628F" w:rsidRPr="005B11F9" w:rsidRDefault="0000628F" w:rsidP="0000628F">
      <w:pPr>
        <w:widowControl w:val="0"/>
        <w:suppressAutoHyphens/>
        <w:spacing w:line="360" w:lineRule="auto"/>
        <w:rPr>
          <w:rFonts w:ascii="Arial" w:eastAsia="PMingLiU" w:hAnsi="Arial" w:cs="Arial"/>
          <w:bCs/>
          <w:iCs/>
          <w:color w:val="FF0000"/>
          <w:sz w:val="22"/>
          <w:szCs w:val="22"/>
          <w:lang w:eastAsia="ar-SA"/>
        </w:rPr>
      </w:pPr>
    </w:p>
    <w:p w:rsidR="0000628F" w:rsidRPr="005B11F9" w:rsidRDefault="0000628F" w:rsidP="0000628F">
      <w:pPr>
        <w:widowControl w:val="0"/>
        <w:suppressAutoHyphens/>
        <w:spacing w:line="360" w:lineRule="auto"/>
        <w:rPr>
          <w:rFonts w:ascii="Arial" w:eastAsia="PMingLiU" w:hAnsi="Arial" w:cs="Arial"/>
          <w:b/>
          <w:bCs/>
          <w:iCs/>
          <w:sz w:val="22"/>
          <w:szCs w:val="22"/>
          <w:lang w:eastAsia="ar-SA"/>
        </w:rPr>
      </w:pPr>
      <w:r w:rsidRPr="005B11F9">
        <w:rPr>
          <w:rFonts w:ascii="Arial" w:eastAsia="PMingLiU" w:hAnsi="Arial" w:cs="Arial"/>
          <w:b/>
          <w:bCs/>
          <w:iCs/>
          <w:sz w:val="22"/>
          <w:szCs w:val="22"/>
          <w:lang w:eastAsia="ar-SA"/>
        </w:rPr>
        <w:t>(3)</w:t>
      </w:r>
    </w:p>
    <w:p w:rsidR="0000628F" w:rsidRPr="005B11F9" w:rsidRDefault="0000628F" w:rsidP="0000628F">
      <w:pPr>
        <w:widowControl w:val="0"/>
        <w:suppressAutoHyphens/>
        <w:spacing w:line="360" w:lineRule="auto"/>
        <w:rPr>
          <w:rFonts w:ascii="Arial" w:eastAsia="PMingLiU" w:hAnsi="Arial" w:cs="Arial"/>
          <w:bCs/>
          <w:iCs/>
          <w:sz w:val="22"/>
          <w:szCs w:val="22"/>
          <w:lang w:eastAsia="ar-SA"/>
        </w:rPr>
      </w:pPr>
      <w:r w:rsidRPr="005B11F9">
        <w:rPr>
          <w:rFonts w:ascii="Arial" w:eastAsia="PMingLiU" w:hAnsi="Arial" w:cs="Arial"/>
          <w:bCs/>
          <w:iCs/>
          <w:sz w:val="22"/>
          <w:szCs w:val="22"/>
          <w:lang w:eastAsia="ar-SA"/>
        </w:rPr>
        <w:t>No. A technical investigation looking into the root causes of operational problems has been initiated, the outcome of which will determine whether there is a need for forensic investigation.</w:t>
      </w:r>
    </w:p>
    <w:p w:rsidR="0000628F" w:rsidRPr="005B11F9" w:rsidRDefault="0000628F" w:rsidP="0000628F">
      <w:pPr>
        <w:spacing w:line="360" w:lineRule="auto"/>
        <w:jc w:val="both"/>
        <w:rPr>
          <w:rFonts w:ascii="Arial" w:hAnsi="Arial" w:cs="Arial"/>
          <w:iCs/>
          <w:sz w:val="22"/>
          <w:szCs w:val="22"/>
        </w:rPr>
      </w:pPr>
    </w:p>
    <w:p w:rsidR="0000628F" w:rsidRPr="005B11F9" w:rsidRDefault="0000628F" w:rsidP="0000628F">
      <w:pPr>
        <w:spacing w:before="100" w:beforeAutospacing="1" w:after="100" w:afterAutospacing="1" w:line="360" w:lineRule="auto"/>
        <w:jc w:val="both"/>
        <w:outlineLvl w:val="0"/>
        <w:rPr>
          <w:rFonts w:ascii="Arial" w:hAnsi="Arial" w:cs="Arial"/>
          <w:sz w:val="22"/>
          <w:szCs w:val="22"/>
          <w:lang w:val="af-ZA"/>
        </w:rPr>
      </w:pPr>
    </w:p>
    <w:p w:rsidR="0000628F" w:rsidRPr="00DB6521" w:rsidRDefault="0000628F" w:rsidP="006C5A5E">
      <w:pPr>
        <w:spacing w:before="100" w:beforeAutospacing="1" w:after="100" w:afterAutospacing="1" w:line="360" w:lineRule="auto"/>
        <w:jc w:val="both"/>
        <w:outlineLvl w:val="0"/>
        <w:rPr>
          <w:rFonts w:ascii="Arial" w:hAnsi="Arial" w:cs="Arial"/>
          <w:b/>
          <w:sz w:val="22"/>
          <w:szCs w:val="22"/>
        </w:rPr>
      </w:pPr>
    </w:p>
    <w:sectPr w:rsidR="0000628F" w:rsidRPr="00DB6521"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96" w:rsidRDefault="00F76196" w:rsidP="006A43DE">
      <w:r>
        <w:separator/>
      </w:r>
    </w:p>
  </w:endnote>
  <w:endnote w:type="continuationSeparator" w:id="0">
    <w:p w:rsidR="00F76196" w:rsidRDefault="00F76196"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96" w:rsidRDefault="00F76196" w:rsidP="006A43DE">
      <w:r>
        <w:separator/>
      </w:r>
    </w:p>
  </w:footnote>
  <w:footnote w:type="continuationSeparator" w:id="0">
    <w:p w:rsidR="00F76196" w:rsidRDefault="00F76196"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21574924"/>
    <w:multiLevelType w:val="hybridMultilevel"/>
    <w:tmpl w:val="49D2940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1"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9EB7E4C"/>
    <w:multiLevelType w:val="hybridMultilevel"/>
    <w:tmpl w:val="1430E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8"/>
  </w:num>
  <w:num w:numId="6">
    <w:abstractNumId w:val="3"/>
  </w:num>
  <w:num w:numId="7">
    <w:abstractNumId w:val="1"/>
  </w:num>
  <w:num w:numId="8">
    <w:abstractNumId w:val="11"/>
  </w:num>
  <w:num w:numId="9">
    <w:abstractNumId w:val="9"/>
  </w:num>
  <w:num w:numId="10">
    <w:abstractNumId w:val="0"/>
  </w:num>
  <w:num w:numId="11">
    <w:abstractNumId w:val="14"/>
  </w:num>
  <w:num w:numId="12">
    <w:abstractNumId w:val="6"/>
  </w:num>
  <w:num w:numId="13">
    <w:abstractNumId w:val="17"/>
  </w:num>
  <w:num w:numId="14">
    <w:abstractNumId w:val="2"/>
  </w:num>
  <w:num w:numId="15">
    <w:abstractNumId w:val="7"/>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0628F"/>
    <w:rsid w:val="000568B9"/>
    <w:rsid w:val="000629C6"/>
    <w:rsid w:val="00074EBD"/>
    <w:rsid w:val="0008029D"/>
    <w:rsid w:val="000B6791"/>
    <w:rsid w:val="000F6FB5"/>
    <w:rsid w:val="001204BE"/>
    <w:rsid w:val="00125D8E"/>
    <w:rsid w:val="00141EAA"/>
    <w:rsid w:val="00152E8D"/>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C030C"/>
    <w:rsid w:val="002E2DC3"/>
    <w:rsid w:val="002F1297"/>
    <w:rsid w:val="002F5F24"/>
    <w:rsid w:val="00307D62"/>
    <w:rsid w:val="0032758C"/>
    <w:rsid w:val="0033077B"/>
    <w:rsid w:val="00335000"/>
    <w:rsid w:val="003468A9"/>
    <w:rsid w:val="00374B91"/>
    <w:rsid w:val="00374F17"/>
    <w:rsid w:val="003F2BC4"/>
    <w:rsid w:val="00403B84"/>
    <w:rsid w:val="00420395"/>
    <w:rsid w:val="00435FE3"/>
    <w:rsid w:val="00450239"/>
    <w:rsid w:val="004526E4"/>
    <w:rsid w:val="0046053A"/>
    <w:rsid w:val="004653BA"/>
    <w:rsid w:val="0047791E"/>
    <w:rsid w:val="004A4357"/>
    <w:rsid w:val="004C6935"/>
    <w:rsid w:val="004E4E93"/>
    <w:rsid w:val="004F5833"/>
    <w:rsid w:val="004F6D7D"/>
    <w:rsid w:val="00500074"/>
    <w:rsid w:val="00512022"/>
    <w:rsid w:val="005206AC"/>
    <w:rsid w:val="00521620"/>
    <w:rsid w:val="00534DDF"/>
    <w:rsid w:val="0054518F"/>
    <w:rsid w:val="00561B84"/>
    <w:rsid w:val="005703CE"/>
    <w:rsid w:val="005C28EA"/>
    <w:rsid w:val="005D1885"/>
    <w:rsid w:val="005D4F0C"/>
    <w:rsid w:val="00612054"/>
    <w:rsid w:val="0065694F"/>
    <w:rsid w:val="0066527A"/>
    <w:rsid w:val="00665425"/>
    <w:rsid w:val="006807DC"/>
    <w:rsid w:val="00685066"/>
    <w:rsid w:val="006A43DE"/>
    <w:rsid w:val="006C5A5E"/>
    <w:rsid w:val="006D650A"/>
    <w:rsid w:val="006E226F"/>
    <w:rsid w:val="006E28F9"/>
    <w:rsid w:val="006F5849"/>
    <w:rsid w:val="00716A5F"/>
    <w:rsid w:val="007410D8"/>
    <w:rsid w:val="00741768"/>
    <w:rsid w:val="00753188"/>
    <w:rsid w:val="00763854"/>
    <w:rsid w:val="00766B05"/>
    <w:rsid w:val="00767C12"/>
    <w:rsid w:val="00780828"/>
    <w:rsid w:val="007840BD"/>
    <w:rsid w:val="007A77D7"/>
    <w:rsid w:val="007B1C58"/>
    <w:rsid w:val="007B2942"/>
    <w:rsid w:val="007C48D9"/>
    <w:rsid w:val="00824E8E"/>
    <w:rsid w:val="00887188"/>
    <w:rsid w:val="00892DFB"/>
    <w:rsid w:val="008960B2"/>
    <w:rsid w:val="008968F5"/>
    <w:rsid w:val="008C4B6D"/>
    <w:rsid w:val="008D6B81"/>
    <w:rsid w:val="008E1A9C"/>
    <w:rsid w:val="0090365F"/>
    <w:rsid w:val="00905B7B"/>
    <w:rsid w:val="00930D31"/>
    <w:rsid w:val="00937EAB"/>
    <w:rsid w:val="00942881"/>
    <w:rsid w:val="009561E6"/>
    <w:rsid w:val="00956AE9"/>
    <w:rsid w:val="00957EA0"/>
    <w:rsid w:val="00961B9E"/>
    <w:rsid w:val="009A53BF"/>
    <w:rsid w:val="009B4F7B"/>
    <w:rsid w:val="009B6439"/>
    <w:rsid w:val="009C4542"/>
    <w:rsid w:val="009E6C64"/>
    <w:rsid w:val="00A00E8D"/>
    <w:rsid w:val="00A164FA"/>
    <w:rsid w:val="00A207A4"/>
    <w:rsid w:val="00A21970"/>
    <w:rsid w:val="00A2660A"/>
    <w:rsid w:val="00A3548B"/>
    <w:rsid w:val="00A42DF5"/>
    <w:rsid w:val="00A45C08"/>
    <w:rsid w:val="00A77EA7"/>
    <w:rsid w:val="00A83BB5"/>
    <w:rsid w:val="00A90D7C"/>
    <w:rsid w:val="00A9377A"/>
    <w:rsid w:val="00A96EFA"/>
    <w:rsid w:val="00AB620F"/>
    <w:rsid w:val="00AD433D"/>
    <w:rsid w:val="00AE07A0"/>
    <w:rsid w:val="00B34D01"/>
    <w:rsid w:val="00B43A3C"/>
    <w:rsid w:val="00B62FA4"/>
    <w:rsid w:val="00B66A10"/>
    <w:rsid w:val="00B764B6"/>
    <w:rsid w:val="00B81C28"/>
    <w:rsid w:val="00B81C99"/>
    <w:rsid w:val="00BA5C62"/>
    <w:rsid w:val="00BA60D2"/>
    <w:rsid w:val="00BA7FA4"/>
    <w:rsid w:val="00BB2CDD"/>
    <w:rsid w:val="00BB480D"/>
    <w:rsid w:val="00BC24E0"/>
    <w:rsid w:val="00BC5A87"/>
    <w:rsid w:val="00BC60BD"/>
    <w:rsid w:val="00BD0503"/>
    <w:rsid w:val="00C11460"/>
    <w:rsid w:val="00C376CE"/>
    <w:rsid w:val="00C46606"/>
    <w:rsid w:val="00C53F6B"/>
    <w:rsid w:val="00C6140B"/>
    <w:rsid w:val="00C71A4E"/>
    <w:rsid w:val="00C76C58"/>
    <w:rsid w:val="00CB5194"/>
    <w:rsid w:val="00CB7B00"/>
    <w:rsid w:val="00CC6424"/>
    <w:rsid w:val="00CE72A9"/>
    <w:rsid w:val="00CF1AE8"/>
    <w:rsid w:val="00CF2CE3"/>
    <w:rsid w:val="00D25359"/>
    <w:rsid w:val="00D31EBA"/>
    <w:rsid w:val="00D35463"/>
    <w:rsid w:val="00D53A9C"/>
    <w:rsid w:val="00D543BA"/>
    <w:rsid w:val="00D54B76"/>
    <w:rsid w:val="00D6168F"/>
    <w:rsid w:val="00D66367"/>
    <w:rsid w:val="00D7334D"/>
    <w:rsid w:val="00D80F16"/>
    <w:rsid w:val="00DB1776"/>
    <w:rsid w:val="00DB6521"/>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5757"/>
    <w:rsid w:val="00F31673"/>
    <w:rsid w:val="00F31D7B"/>
    <w:rsid w:val="00F34711"/>
    <w:rsid w:val="00F45181"/>
    <w:rsid w:val="00F62BDA"/>
    <w:rsid w:val="00F63886"/>
    <w:rsid w:val="00F651DA"/>
    <w:rsid w:val="00F76196"/>
    <w:rsid w:val="00F77706"/>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Accent1">
    <w:name w:val="Light List Accent 1"/>
    <w:basedOn w:val="TableNormal"/>
    <w:uiPriority w:val="61"/>
    <w:rsid w:val="0000628F"/>
    <w:rPr>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2E70-D913-4D09-86F6-FB009677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2826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4</cp:revision>
  <cp:lastPrinted>2018-04-30T12:47:00Z</cp:lastPrinted>
  <dcterms:created xsi:type="dcterms:W3CDTF">2018-06-07T08:53:00Z</dcterms:created>
  <dcterms:modified xsi:type="dcterms:W3CDTF">2018-06-07T09:00:00Z</dcterms:modified>
</cp:coreProperties>
</file>