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04D4" w14:textId="77777777" w:rsidR="008A7DCE" w:rsidRPr="0095517A" w:rsidRDefault="008A7DCE" w:rsidP="00A51C0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14:paraId="258424D7" w14:textId="77777777" w:rsidR="008A7DCE" w:rsidRPr="005C5BE2" w:rsidRDefault="009C0EB1" w:rsidP="005C5B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WRITTEN REPLY</w:t>
      </w:r>
      <w:r w:rsidR="005C5BE2">
        <w:rPr>
          <w:rFonts w:ascii="Arial" w:hAnsi="Arial" w:cs="Arial"/>
          <w:b/>
          <w:sz w:val="22"/>
          <w:szCs w:val="22"/>
        </w:rPr>
        <w:t xml:space="preserve"> </w:t>
      </w:r>
    </w:p>
    <w:p w14:paraId="59860E31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DB4F96" w14:textId="77777777"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B3114E">
        <w:rPr>
          <w:rFonts w:ascii="Arial" w:hAnsi="Arial" w:cs="Arial"/>
          <w:b/>
          <w:sz w:val="22"/>
          <w:szCs w:val="22"/>
          <w:u w:val="single"/>
          <w:lang w:val="en-ZA"/>
        </w:rPr>
        <w:t>1258</w:t>
      </w:r>
    </w:p>
    <w:p w14:paraId="2688E28B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67B90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A20E3">
        <w:rPr>
          <w:rFonts w:ascii="Arial" w:hAnsi="Arial" w:cs="Arial"/>
          <w:b/>
          <w:sz w:val="22"/>
          <w:szCs w:val="22"/>
          <w:u w:val="single"/>
        </w:rPr>
        <w:t>26 APRIL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14:paraId="6232F74B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A20E3">
        <w:rPr>
          <w:rFonts w:ascii="Arial" w:hAnsi="Arial" w:cs="Arial"/>
          <w:b/>
          <w:sz w:val="22"/>
          <w:szCs w:val="22"/>
          <w:u w:val="single"/>
        </w:rPr>
        <w:t>1</w:t>
      </w:r>
      <w:r w:rsidR="002E346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5845F4DA" w14:textId="77777777" w:rsidR="00A820E7" w:rsidRDefault="00A820E7" w:rsidP="00DE28C2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</w:p>
    <w:p w14:paraId="0ECF2BA9" w14:textId="77777777" w:rsidR="00DE28C2" w:rsidRPr="00B3114E" w:rsidRDefault="00B3114E" w:rsidP="00DE28C2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B3114E">
        <w:rPr>
          <w:rFonts w:ascii="Arial" w:eastAsia="Calibri" w:hAnsi="Arial" w:cs="Arial"/>
          <w:b/>
          <w:noProof/>
          <w:sz w:val="22"/>
          <w:szCs w:val="22"/>
          <w:lang w:val="af-ZA"/>
        </w:rPr>
        <w:t>1258.</w:t>
      </w:r>
      <w:r w:rsidRPr="00B3114E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L J Basson (DA) to ask the Minister of Water and Sanitation:</w:t>
      </w:r>
    </w:p>
    <w:p w14:paraId="3CCAAB6A" w14:textId="77777777" w:rsidR="00DE28C2" w:rsidRPr="00DE28C2" w:rsidRDefault="00B3114E" w:rsidP="00DE28C2">
      <w:pPr>
        <w:pStyle w:val="ListParagraph"/>
        <w:numPr>
          <w:ilvl w:val="0"/>
          <w:numId w:val="8"/>
        </w:numPr>
        <w:spacing w:before="100" w:beforeAutospacing="1" w:after="100" w:afterAutospacing="1" w:line="259" w:lineRule="auto"/>
        <w:ind w:left="1418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E28C2">
        <w:rPr>
          <w:rFonts w:ascii="Arial" w:eastAsia="Calibri" w:hAnsi="Arial" w:cs="Arial"/>
          <w:sz w:val="22"/>
          <w:szCs w:val="22"/>
          <w:lang w:val="en-ZA"/>
        </w:rPr>
        <w:t>What is the (a) status of the Lesotho Highlands Water Project Phase II and (b) estimated (i) completion date and (ii) cost;</w:t>
      </w:r>
    </w:p>
    <w:p w14:paraId="461EE41D" w14:textId="77777777" w:rsidR="004A3B45" w:rsidRPr="009D28E7" w:rsidRDefault="00B3114E" w:rsidP="009D28E7">
      <w:pPr>
        <w:pStyle w:val="ListParagraph"/>
        <w:numPr>
          <w:ilvl w:val="0"/>
          <w:numId w:val="8"/>
        </w:numPr>
        <w:spacing w:before="100" w:beforeAutospacing="1" w:after="100" w:afterAutospacing="1" w:line="259" w:lineRule="auto"/>
        <w:jc w:val="both"/>
        <w:rPr>
          <w:rFonts w:ascii="Arial" w:eastAsia="Calibri" w:hAnsi="Arial" w:cs="Arial"/>
          <w:noProof/>
          <w:sz w:val="22"/>
          <w:szCs w:val="22"/>
          <w:lang w:val="af-ZA"/>
        </w:rPr>
      </w:pPr>
      <w:proofErr w:type="gramStart"/>
      <w:r w:rsidRPr="009D28E7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9D28E7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9D28E7">
        <w:rPr>
          <w:rFonts w:ascii="Arial" w:eastAsia="Calibri" w:hAnsi="Arial" w:cs="Arial"/>
          <w:noProof/>
          <w:sz w:val="22"/>
          <w:szCs w:val="22"/>
          <w:lang w:val="af-ZA"/>
        </w:rPr>
        <w:t>any</w:t>
      </w:r>
      <w:r w:rsidRPr="009D28E7">
        <w:rPr>
          <w:rFonts w:ascii="Arial" w:eastAsia="Calibri" w:hAnsi="Arial" w:cs="Arial"/>
          <w:sz w:val="22"/>
          <w:szCs w:val="22"/>
          <w:lang w:val="en-ZA"/>
        </w:rPr>
        <w:t xml:space="preserve"> contractors have been appointed; if so, what is the (a) name of the contractor and (b) contract price</w:t>
      </w:r>
      <w:r w:rsidRPr="009D28E7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9D28E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D28E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9D28E7">
        <w:rPr>
          <w:rFonts w:ascii="Arial" w:eastAsia="Calibri" w:hAnsi="Arial" w:cs="Arial"/>
          <w:noProof/>
          <w:sz w:val="22"/>
          <w:szCs w:val="22"/>
          <w:lang w:val="af-ZA"/>
        </w:rPr>
        <w:t xml:space="preserve">                                                                                                  </w:t>
      </w:r>
      <w:r w:rsidRPr="009D28E7">
        <w:rPr>
          <w:rFonts w:ascii="Arial" w:eastAsia="Calibri" w:hAnsi="Arial" w:cs="Arial"/>
          <w:noProof/>
          <w:sz w:val="16"/>
          <w:szCs w:val="16"/>
          <w:lang w:val="af-ZA"/>
        </w:rPr>
        <w:t>NW1357E</w:t>
      </w:r>
    </w:p>
    <w:p w14:paraId="2A2207E0" w14:textId="77777777" w:rsidR="00751ED8" w:rsidRDefault="00BB60A5" w:rsidP="00DE28C2">
      <w:pPr>
        <w:tabs>
          <w:tab w:val="left" w:pos="6105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14:paraId="7694DFF5" w14:textId="77777777" w:rsidR="00FE45A4" w:rsidRPr="009B1473" w:rsidRDefault="00B2157C" w:rsidP="00DE28C2">
      <w:pPr>
        <w:tabs>
          <w:tab w:val="left" w:pos="6105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4860B410" w14:textId="77777777" w:rsidR="007B5FA6" w:rsidRPr="002F5A12" w:rsidRDefault="002F5A12" w:rsidP="00DE28C2">
      <w:pPr>
        <w:tabs>
          <w:tab w:val="left" w:pos="720"/>
          <w:tab w:val="left" w:pos="1440"/>
          <w:tab w:val="left" w:pos="3180"/>
        </w:tabs>
        <w:spacing w:before="100" w:beforeAutospacing="1"/>
        <w:ind w:left="144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F76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7B5FA6" w:rsidRPr="00AF2C14">
        <w:rPr>
          <w:rFonts w:ascii="Arial" w:hAnsi="Arial" w:cs="Arial"/>
          <w:sz w:val="22"/>
          <w:szCs w:val="22"/>
        </w:rPr>
        <w:t xml:space="preserve">To date 13 contracts have been completed, 23 contracts are </w:t>
      </w:r>
      <w:r>
        <w:rPr>
          <w:rFonts w:ascii="Arial" w:hAnsi="Arial" w:cs="Arial"/>
          <w:sz w:val="22"/>
          <w:szCs w:val="22"/>
        </w:rPr>
        <w:t xml:space="preserve">still </w:t>
      </w:r>
      <w:r w:rsidR="007B5FA6" w:rsidRPr="00AF2C14">
        <w:rPr>
          <w:rFonts w:ascii="Arial" w:hAnsi="Arial" w:cs="Arial"/>
          <w:sz w:val="22"/>
          <w:szCs w:val="22"/>
        </w:rPr>
        <w:t>in progress</w:t>
      </w:r>
      <w:r w:rsidR="007B5FA6" w:rsidRPr="00AF2C14">
        <w:rPr>
          <w:rFonts w:ascii="Arial" w:hAnsi="Arial" w:cs="Arial"/>
          <w:sz w:val="22"/>
          <w:szCs w:val="22"/>
          <w:lang w:val="en-GB"/>
        </w:rPr>
        <w:t>,</w:t>
      </w:r>
      <w:r w:rsidR="007B5FA6" w:rsidRPr="00AF2C14">
        <w:rPr>
          <w:rFonts w:ascii="Arial" w:hAnsi="Arial" w:cs="Arial"/>
          <w:sz w:val="22"/>
          <w:szCs w:val="22"/>
        </w:rPr>
        <w:t xml:space="preserve"> 10 contracts</w:t>
      </w:r>
      <w:r w:rsidR="00B542A8">
        <w:rPr>
          <w:rFonts w:ascii="Arial" w:hAnsi="Arial" w:cs="Arial"/>
          <w:sz w:val="22"/>
          <w:szCs w:val="22"/>
        </w:rPr>
        <w:t xml:space="preserve"> are</w:t>
      </w:r>
      <w:r w:rsidR="007B5FA6" w:rsidRPr="00AF2C14">
        <w:rPr>
          <w:rFonts w:ascii="Arial" w:hAnsi="Arial" w:cs="Arial"/>
          <w:sz w:val="22"/>
          <w:szCs w:val="22"/>
        </w:rPr>
        <w:t xml:space="preserve"> at evaluation stage and 1 contract is at tender stage.  </w:t>
      </w:r>
      <w:r w:rsidR="00A51C0E">
        <w:rPr>
          <w:rFonts w:ascii="Arial" w:hAnsi="Arial" w:cs="Arial"/>
          <w:sz w:val="22"/>
          <w:szCs w:val="22"/>
        </w:rPr>
        <w:t xml:space="preserve">Refer to </w:t>
      </w:r>
      <w:r w:rsidR="00A51C0E" w:rsidRPr="00985FC2">
        <w:rPr>
          <w:rFonts w:ascii="Arial" w:hAnsi="Arial" w:cs="Arial"/>
          <w:b/>
          <w:sz w:val="22"/>
          <w:szCs w:val="22"/>
        </w:rPr>
        <w:t>Annexure A</w:t>
      </w:r>
      <w:r w:rsidR="003607FC">
        <w:rPr>
          <w:rFonts w:ascii="Arial" w:hAnsi="Arial" w:cs="Arial"/>
          <w:sz w:val="22"/>
          <w:szCs w:val="22"/>
        </w:rPr>
        <w:t xml:space="preserve"> for the estimated completion</w:t>
      </w:r>
      <w:r w:rsidR="00A51C0E">
        <w:rPr>
          <w:rFonts w:ascii="Arial" w:hAnsi="Arial" w:cs="Arial"/>
          <w:sz w:val="22"/>
          <w:szCs w:val="22"/>
        </w:rPr>
        <w:t xml:space="preserve"> dates and estimated cost. </w:t>
      </w:r>
    </w:p>
    <w:p w14:paraId="40E89F9B" w14:textId="77777777" w:rsidR="00751ED8" w:rsidRDefault="007B5FA6" w:rsidP="00DE28C2">
      <w:pPr>
        <w:tabs>
          <w:tab w:val="left" w:pos="720"/>
          <w:tab w:val="left" w:pos="1440"/>
          <w:tab w:val="left" w:pos="3180"/>
        </w:tabs>
        <w:spacing w:before="100" w:beforeAutospacing="1"/>
        <w:ind w:left="1440" w:hanging="720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F2C14"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14:paraId="373FD653" w14:textId="77777777" w:rsidR="00AF2C14" w:rsidRPr="00AF2C14" w:rsidRDefault="00751ED8" w:rsidP="00DE28C2">
      <w:pPr>
        <w:tabs>
          <w:tab w:val="left" w:pos="720"/>
          <w:tab w:val="left" w:pos="1440"/>
          <w:tab w:val="left" w:pos="3180"/>
        </w:tabs>
        <w:spacing w:before="100" w:beforeAutospacing="1"/>
        <w:ind w:left="1440" w:hanging="720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7B5FA6" w:rsidRPr="00AF2C14">
        <w:rPr>
          <w:rFonts w:ascii="Arial" w:hAnsi="Arial" w:cs="Arial"/>
          <w:b/>
          <w:bCs/>
          <w:sz w:val="22"/>
          <w:szCs w:val="22"/>
          <w:lang w:val="en-ZA"/>
        </w:rPr>
        <w:t xml:space="preserve">Contracts in Progress: </w:t>
      </w:r>
    </w:p>
    <w:p w14:paraId="270DFFE7" w14:textId="77777777" w:rsidR="00ED7169" w:rsidRPr="00AF2C14" w:rsidRDefault="00AF2C14" w:rsidP="00DE28C2">
      <w:pPr>
        <w:tabs>
          <w:tab w:val="left" w:pos="720"/>
          <w:tab w:val="left" w:pos="1440"/>
          <w:tab w:val="left" w:pos="3180"/>
        </w:tabs>
        <w:spacing w:after="100" w:afterAutospacing="1"/>
        <w:ind w:left="1440" w:hanging="720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AF2C1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644AF0" w:rsidRPr="00AF2C14">
        <w:rPr>
          <w:rFonts w:ascii="Arial" w:hAnsi="Arial" w:cs="Arial"/>
          <w:bCs/>
          <w:sz w:val="22"/>
          <w:szCs w:val="22"/>
          <w:lang w:val="en-ZA"/>
        </w:rPr>
        <w:t>The Polihali Dam as well as the Polihali to Katse Transfer Tunn</w:t>
      </w:r>
      <w:r w:rsidR="00751ED8">
        <w:rPr>
          <w:rFonts w:ascii="Arial" w:hAnsi="Arial" w:cs="Arial"/>
          <w:bCs/>
          <w:sz w:val="22"/>
          <w:szCs w:val="22"/>
          <w:lang w:val="en-ZA"/>
        </w:rPr>
        <w:t xml:space="preserve">el design is progressing well. </w:t>
      </w:r>
      <w:r w:rsidR="00644AF0" w:rsidRPr="00AF2C14">
        <w:rPr>
          <w:rFonts w:ascii="Arial" w:hAnsi="Arial" w:cs="Arial"/>
          <w:bCs/>
          <w:sz w:val="22"/>
          <w:szCs w:val="22"/>
          <w:lang w:val="en-ZA"/>
        </w:rPr>
        <w:t xml:space="preserve">Presently the Geotechnical drilling contract is 3 months behind schedule. </w:t>
      </w:r>
      <w:r w:rsidR="00ED7169" w:rsidRPr="00AF2C14">
        <w:rPr>
          <w:rFonts w:ascii="Arial" w:hAnsi="Arial" w:cs="Arial"/>
          <w:bCs/>
          <w:sz w:val="22"/>
          <w:szCs w:val="22"/>
          <w:lang w:val="en-ZA"/>
        </w:rPr>
        <w:t>Alternatives are being considered to mitigate any delays this may have on the above-mentioned designs.</w:t>
      </w:r>
    </w:p>
    <w:p w14:paraId="5F1EFAE9" w14:textId="77777777" w:rsidR="00751ED8" w:rsidRDefault="00ED7169" w:rsidP="00DE28C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F2C14"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14:paraId="428CAD1D" w14:textId="77777777" w:rsidR="00751ED8" w:rsidRDefault="00751ED8" w:rsidP="00DE28C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7B5FA6" w:rsidRPr="00AF2C14">
        <w:rPr>
          <w:rFonts w:ascii="Arial" w:hAnsi="Arial" w:cs="Arial"/>
          <w:bCs/>
          <w:sz w:val="22"/>
          <w:szCs w:val="22"/>
          <w:lang w:val="en-ZA"/>
        </w:rPr>
        <w:t xml:space="preserve">Infrastructure, Social and Environmental </w:t>
      </w:r>
      <w:r w:rsidR="00AF2C14" w:rsidRPr="00AF2C14">
        <w:rPr>
          <w:rFonts w:ascii="Arial" w:hAnsi="Arial" w:cs="Arial"/>
          <w:bCs/>
          <w:sz w:val="22"/>
          <w:szCs w:val="22"/>
          <w:lang w:val="en-ZA"/>
        </w:rPr>
        <w:t xml:space="preserve">consultancy </w:t>
      </w:r>
      <w:r w:rsidR="007B5FA6" w:rsidRPr="00AF2C14">
        <w:rPr>
          <w:rFonts w:ascii="Arial" w:hAnsi="Arial" w:cs="Arial"/>
          <w:bCs/>
          <w:sz w:val="22"/>
          <w:szCs w:val="22"/>
          <w:lang w:val="en-ZA"/>
        </w:rPr>
        <w:t>work in progress</w:t>
      </w:r>
      <w:r w:rsidR="007B5FA6" w:rsidRPr="00AF2C14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ED7169" w:rsidRPr="00AF2C14">
        <w:rPr>
          <w:rFonts w:ascii="Arial" w:hAnsi="Arial" w:cs="Arial"/>
          <w:bCs/>
          <w:sz w:val="22"/>
          <w:szCs w:val="22"/>
          <w:lang w:val="en-ZA"/>
        </w:rPr>
        <w:t>are the</w:t>
      </w:r>
      <w:r w:rsidR="00ED7169" w:rsidRPr="00AF2C14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ED7169" w:rsidRPr="00AF2C14">
        <w:rPr>
          <w:rFonts w:ascii="Arial" w:hAnsi="Arial" w:cs="Arial"/>
          <w:bCs/>
          <w:sz w:val="22"/>
          <w:szCs w:val="22"/>
          <w:lang w:val="en-ZA"/>
        </w:rPr>
        <w:t>d</w:t>
      </w:r>
      <w:r w:rsidR="007B5FA6" w:rsidRPr="00AF2C14">
        <w:rPr>
          <w:rFonts w:ascii="Arial" w:hAnsi="Arial" w:cs="Arial"/>
          <w:sz w:val="22"/>
          <w:szCs w:val="22"/>
          <w:lang w:val="en-ZA"/>
        </w:rPr>
        <w:t>esign of</w:t>
      </w:r>
      <w:r w:rsidR="00ED7169" w:rsidRPr="00AF2C14">
        <w:rPr>
          <w:rFonts w:ascii="Arial" w:hAnsi="Arial" w:cs="Arial"/>
          <w:sz w:val="22"/>
          <w:szCs w:val="22"/>
          <w:lang w:val="en-ZA"/>
        </w:rPr>
        <w:t>:</w:t>
      </w:r>
      <w:r w:rsidR="007B5FA6" w:rsidRPr="00AF2C14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29D9FDAA" w14:textId="77777777" w:rsidR="00751ED8" w:rsidRPr="00751ED8" w:rsidRDefault="007B5FA6" w:rsidP="00DE28C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751ED8">
        <w:rPr>
          <w:rFonts w:ascii="Arial" w:hAnsi="Arial" w:cs="Arial"/>
          <w:sz w:val="22"/>
          <w:szCs w:val="22"/>
          <w:lang w:val="en-ZA"/>
        </w:rPr>
        <w:t xml:space="preserve">Environmental Social Impact Assessment (ESIA) Western Corridor, </w:t>
      </w:r>
    </w:p>
    <w:p w14:paraId="2AE52B37" w14:textId="77777777" w:rsidR="00751ED8" w:rsidRDefault="007B5FA6" w:rsidP="00DE28C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751ED8">
        <w:rPr>
          <w:rFonts w:ascii="Arial" w:hAnsi="Arial" w:cs="Arial"/>
          <w:sz w:val="22"/>
          <w:szCs w:val="22"/>
          <w:lang w:val="en-ZA"/>
        </w:rPr>
        <w:t>ESIA Dam and Tun</w:t>
      </w:r>
      <w:r w:rsidR="00ED7169" w:rsidRPr="00751ED8">
        <w:rPr>
          <w:rFonts w:ascii="Arial" w:hAnsi="Arial" w:cs="Arial"/>
          <w:sz w:val="22"/>
          <w:szCs w:val="22"/>
          <w:lang w:val="en-ZA"/>
        </w:rPr>
        <w:t xml:space="preserve">nel site establishment areas, </w:t>
      </w:r>
    </w:p>
    <w:p w14:paraId="34B7A942" w14:textId="77777777" w:rsidR="00751ED8" w:rsidRDefault="00DF7604" w:rsidP="00DE28C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751ED8">
        <w:rPr>
          <w:rFonts w:ascii="Arial" w:hAnsi="Arial" w:cs="Arial"/>
          <w:sz w:val="22"/>
          <w:szCs w:val="22"/>
          <w:lang w:val="en-ZA"/>
        </w:rPr>
        <w:t>Resettlement Action Plan (RAP) for</w:t>
      </w:r>
      <w:r w:rsidR="007B5FA6" w:rsidRPr="00751ED8">
        <w:rPr>
          <w:rFonts w:ascii="Arial" w:hAnsi="Arial" w:cs="Arial"/>
          <w:sz w:val="22"/>
          <w:szCs w:val="22"/>
          <w:lang w:val="en-ZA"/>
        </w:rPr>
        <w:t xml:space="preserve"> Project Housing, main reservoir, Major bridges &amp; road realignments (</w:t>
      </w:r>
      <w:r w:rsidR="00ED7169" w:rsidRPr="00751ED8">
        <w:rPr>
          <w:rFonts w:ascii="Arial" w:hAnsi="Arial" w:cs="Arial"/>
          <w:sz w:val="22"/>
          <w:szCs w:val="22"/>
          <w:lang w:val="en-ZA"/>
        </w:rPr>
        <w:t>iv</w:t>
      </w:r>
      <w:r w:rsidR="007B5FA6" w:rsidRPr="00751ED8">
        <w:rPr>
          <w:rFonts w:ascii="Arial" w:hAnsi="Arial" w:cs="Arial"/>
          <w:sz w:val="22"/>
          <w:szCs w:val="22"/>
          <w:lang w:val="en-ZA"/>
        </w:rPr>
        <w:t>) RAP</w:t>
      </w:r>
      <w:r w:rsidRPr="00751ED8">
        <w:rPr>
          <w:rFonts w:ascii="Arial" w:hAnsi="Arial" w:cs="Arial"/>
          <w:sz w:val="22"/>
          <w:szCs w:val="22"/>
          <w:lang w:val="en-ZA"/>
        </w:rPr>
        <w:t xml:space="preserve"> </w:t>
      </w:r>
      <w:r w:rsidR="00751ED8" w:rsidRPr="00751ED8">
        <w:rPr>
          <w:rFonts w:ascii="Arial" w:hAnsi="Arial" w:cs="Arial"/>
          <w:sz w:val="22"/>
          <w:szCs w:val="22"/>
          <w:lang w:val="en-ZA"/>
        </w:rPr>
        <w:t>- Western</w:t>
      </w:r>
      <w:r w:rsidR="007B5FA6" w:rsidRPr="00751ED8">
        <w:rPr>
          <w:rFonts w:ascii="Arial" w:hAnsi="Arial" w:cs="Arial"/>
          <w:sz w:val="22"/>
          <w:szCs w:val="22"/>
          <w:lang w:val="en-ZA"/>
        </w:rPr>
        <w:t xml:space="preserve"> access road </w:t>
      </w:r>
      <w:r w:rsidR="00ED7169" w:rsidRPr="00751ED8">
        <w:rPr>
          <w:rFonts w:ascii="Arial" w:hAnsi="Arial" w:cs="Arial"/>
          <w:sz w:val="22"/>
          <w:szCs w:val="22"/>
          <w:lang w:val="en-ZA"/>
        </w:rPr>
        <w:t xml:space="preserve">and </w:t>
      </w:r>
    </w:p>
    <w:p w14:paraId="04E51F5F" w14:textId="77777777" w:rsidR="00751ED8" w:rsidRPr="00985FC2" w:rsidRDefault="00ED7169" w:rsidP="00DE28C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751ED8">
        <w:rPr>
          <w:rFonts w:ascii="Arial" w:hAnsi="Arial" w:cs="Arial"/>
          <w:sz w:val="22"/>
          <w:szCs w:val="22"/>
          <w:lang w:val="en-ZA"/>
        </w:rPr>
        <w:t>Hydropower feasibility study now concentrating on the detailed feasibility of conventional hydropower generation at three site</w:t>
      </w:r>
      <w:r w:rsidR="004145E5">
        <w:rPr>
          <w:rFonts w:ascii="Arial" w:hAnsi="Arial" w:cs="Arial"/>
          <w:sz w:val="22"/>
          <w:szCs w:val="22"/>
          <w:lang w:val="en-ZA"/>
        </w:rPr>
        <w:t>s</w:t>
      </w:r>
      <w:r w:rsidRPr="00751ED8">
        <w:rPr>
          <w:rFonts w:ascii="Arial" w:hAnsi="Arial" w:cs="Arial"/>
          <w:sz w:val="22"/>
          <w:szCs w:val="22"/>
          <w:lang w:val="en-ZA"/>
        </w:rPr>
        <w:t>.</w:t>
      </w:r>
    </w:p>
    <w:p w14:paraId="64F1438B" w14:textId="77777777" w:rsidR="00985FC2" w:rsidRDefault="00751ED8" w:rsidP="00DE28C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="00ED7169" w:rsidRPr="00AF2C14">
        <w:rPr>
          <w:rFonts w:ascii="Arial" w:hAnsi="Arial" w:cs="Arial"/>
          <w:sz w:val="22"/>
          <w:szCs w:val="22"/>
          <w:lang w:val="en-ZA"/>
        </w:rPr>
        <w:t xml:space="preserve">Designs and tender </w:t>
      </w:r>
      <w:r w:rsidRPr="00AF2C14">
        <w:rPr>
          <w:rFonts w:ascii="Arial" w:hAnsi="Arial" w:cs="Arial"/>
          <w:sz w:val="22"/>
          <w:szCs w:val="22"/>
          <w:lang w:val="en-ZA"/>
        </w:rPr>
        <w:t>documentation</w:t>
      </w:r>
      <w:r w:rsidR="00ED7169" w:rsidRPr="00AF2C14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are </w:t>
      </w:r>
      <w:r w:rsidR="00A51C0E">
        <w:rPr>
          <w:rFonts w:ascii="Arial" w:hAnsi="Arial" w:cs="Arial"/>
          <w:sz w:val="22"/>
          <w:szCs w:val="22"/>
          <w:lang w:val="en-ZA"/>
        </w:rPr>
        <w:t>ready to be issued by June 20</w:t>
      </w:r>
      <w:r w:rsidR="00ED7169" w:rsidRPr="00AF2C14">
        <w:rPr>
          <w:rFonts w:ascii="Arial" w:hAnsi="Arial" w:cs="Arial"/>
          <w:sz w:val="22"/>
          <w:szCs w:val="22"/>
          <w:lang w:val="en-ZA"/>
        </w:rPr>
        <w:t>18, of the f</w:t>
      </w:r>
      <w:r>
        <w:rPr>
          <w:rFonts w:ascii="Arial" w:hAnsi="Arial" w:cs="Arial"/>
          <w:sz w:val="22"/>
          <w:szCs w:val="22"/>
          <w:lang w:val="en-ZA"/>
        </w:rPr>
        <w:t xml:space="preserve">ollowing works are: </w:t>
      </w:r>
    </w:p>
    <w:p w14:paraId="16B92901" w14:textId="77777777" w:rsidR="00985FC2" w:rsidRPr="00985FC2" w:rsidRDefault="00751ED8" w:rsidP="00DE28C2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985FC2">
        <w:rPr>
          <w:rFonts w:ascii="Arial" w:hAnsi="Arial" w:cs="Arial"/>
          <w:sz w:val="22"/>
          <w:szCs w:val="22"/>
          <w:lang w:val="en-ZA"/>
        </w:rPr>
        <w:t xml:space="preserve">Western </w:t>
      </w:r>
      <w:r w:rsidR="00ED7169" w:rsidRPr="00985FC2">
        <w:rPr>
          <w:rFonts w:ascii="Arial" w:hAnsi="Arial" w:cs="Arial"/>
          <w:sz w:val="22"/>
          <w:szCs w:val="22"/>
          <w:lang w:val="en-ZA"/>
        </w:rPr>
        <w:t xml:space="preserve">Access Road, </w:t>
      </w:r>
    </w:p>
    <w:p w14:paraId="5866C85B" w14:textId="77777777" w:rsidR="00ED7169" w:rsidRPr="00985FC2" w:rsidRDefault="00ED7169" w:rsidP="00DE28C2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985FC2">
        <w:rPr>
          <w:rFonts w:ascii="Arial" w:hAnsi="Arial" w:cs="Arial"/>
          <w:sz w:val="22"/>
          <w:szCs w:val="22"/>
          <w:lang w:val="en-ZA"/>
        </w:rPr>
        <w:t>Powe</w:t>
      </w:r>
      <w:r w:rsidR="00985FC2">
        <w:rPr>
          <w:rFonts w:ascii="Arial" w:hAnsi="Arial" w:cs="Arial"/>
          <w:sz w:val="22"/>
          <w:szCs w:val="22"/>
          <w:lang w:val="en-ZA"/>
        </w:rPr>
        <w:t>r supply and Telecommunications.</w:t>
      </w:r>
      <w:r w:rsidRPr="00985FC2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7A211F5A" w14:textId="77777777" w:rsidR="00985FC2" w:rsidRDefault="00ED7169" w:rsidP="00DE28C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AF2C14">
        <w:rPr>
          <w:rFonts w:ascii="Arial" w:hAnsi="Arial" w:cs="Arial"/>
          <w:sz w:val="22"/>
          <w:szCs w:val="22"/>
          <w:lang w:val="en-ZA"/>
        </w:rPr>
        <w:tab/>
      </w:r>
      <w:r w:rsidR="00B542A8">
        <w:rPr>
          <w:rFonts w:ascii="Arial" w:hAnsi="Arial" w:cs="Arial"/>
          <w:sz w:val="22"/>
          <w:szCs w:val="22"/>
          <w:lang w:val="en-ZA"/>
        </w:rPr>
        <w:t xml:space="preserve">Tender evaluation of the </w:t>
      </w:r>
      <w:r w:rsidR="007F7382" w:rsidRPr="00AF2C14">
        <w:rPr>
          <w:rFonts w:ascii="Arial" w:hAnsi="Arial" w:cs="Arial"/>
          <w:sz w:val="22"/>
          <w:szCs w:val="22"/>
        </w:rPr>
        <w:t>first three (3) construction contracts</w:t>
      </w:r>
      <w:r w:rsidR="002F4090">
        <w:rPr>
          <w:rFonts w:ascii="Arial" w:hAnsi="Arial" w:cs="Arial"/>
          <w:sz w:val="22"/>
          <w:szCs w:val="22"/>
        </w:rPr>
        <w:t xml:space="preserve">, </w:t>
      </w:r>
      <w:r w:rsidR="00A51C0E">
        <w:rPr>
          <w:rFonts w:ascii="Arial" w:hAnsi="Arial" w:cs="Arial"/>
          <w:sz w:val="22"/>
          <w:szCs w:val="22"/>
        </w:rPr>
        <w:t xml:space="preserve">were </w:t>
      </w:r>
      <w:r w:rsidR="002F4090">
        <w:rPr>
          <w:rFonts w:ascii="Arial" w:hAnsi="Arial" w:cs="Arial"/>
          <w:sz w:val="22"/>
          <w:szCs w:val="22"/>
        </w:rPr>
        <w:t>advertised in Sept</w:t>
      </w:r>
      <w:r w:rsidR="00A51C0E">
        <w:rPr>
          <w:rFonts w:ascii="Arial" w:hAnsi="Arial" w:cs="Arial"/>
          <w:sz w:val="22"/>
          <w:szCs w:val="22"/>
        </w:rPr>
        <w:t>ember</w:t>
      </w:r>
      <w:r w:rsidR="002F4090">
        <w:rPr>
          <w:rFonts w:ascii="Arial" w:hAnsi="Arial" w:cs="Arial"/>
          <w:sz w:val="22"/>
          <w:szCs w:val="22"/>
        </w:rPr>
        <w:t xml:space="preserve"> and Oct</w:t>
      </w:r>
      <w:r w:rsidR="00A51C0E">
        <w:rPr>
          <w:rFonts w:ascii="Arial" w:hAnsi="Arial" w:cs="Arial"/>
          <w:sz w:val="22"/>
          <w:szCs w:val="22"/>
        </w:rPr>
        <w:t>ober</w:t>
      </w:r>
      <w:r w:rsidR="002F4090">
        <w:rPr>
          <w:rFonts w:ascii="Arial" w:hAnsi="Arial" w:cs="Arial"/>
          <w:sz w:val="22"/>
          <w:szCs w:val="22"/>
        </w:rPr>
        <w:t xml:space="preserve"> 2017</w:t>
      </w:r>
      <w:r w:rsidR="00B542A8">
        <w:rPr>
          <w:rFonts w:ascii="Arial" w:hAnsi="Arial" w:cs="Arial"/>
          <w:sz w:val="22"/>
          <w:szCs w:val="22"/>
        </w:rPr>
        <w:t xml:space="preserve"> are complete and is </w:t>
      </w:r>
      <w:r w:rsidR="002F4090" w:rsidRPr="00AF2C14">
        <w:rPr>
          <w:rFonts w:ascii="Arial" w:hAnsi="Arial" w:cs="Arial"/>
          <w:sz w:val="22"/>
          <w:szCs w:val="22"/>
        </w:rPr>
        <w:t>abou</w:t>
      </w:r>
      <w:r w:rsidR="002F4090">
        <w:rPr>
          <w:rFonts w:ascii="Arial" w:hAnsi="Arial" w:cs="Arial"/>
          <w:sz w:val="22"/>
          <w:szCs w:val="22"/>
        </w:rPr>
        <w:t>t to be awarded</w:t>
      </w:r>
      <w:r w:rsidR="00B542A8">
        <w:rPr>
          <w:rFonts w:ascii="Arial" w:hAnsi="Arial" w:cs="Arial"/>
          <w:sz w:val="22"/>
          <w:szCs w:val="22"/>
        </w:rPr>
        <w:t xml:space="preserve">. The contract for the </w:t>
      </w:r>
      <w:r w:rsidR="007F7382" w:rsidRPr="00AF2C14">
        <w:rPr>
          <w:rFonts w:ascii="Arial" w:hAnsi="Arial" w:cs="Arial"/>
          <w:sz w:val="22"/>
          <w:szCs w:val="22"/>
        </w:rPr>
        <w:t>Advanced Infrastructure construction works</w:t>
      </w:r>
      <w:r w:rsidR="002F4090">
        <w:rPr>
          <w:rFonts w:ascii="Arial" w:hAnsi="Arial" w:cs="Arial"/>
          <w:sz w:val="22"/>
          <w:szCs w:val="22"/>
        </w:rPr>
        <w:t xml:space="preserve"> are: </w:t>
      </w:r>
    </w:p>
    <w:p w14:paraId="63BCA6CB" w14:textId="77777777" w:rsidR="00985FC2" w:rsidRPr="00985FC2" w:rsidRDefault="00985FC2" w:rsidP="00DE28C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F7382" w:rsidRPr="00985FC2">
        <w:rPr>
          <w:rFonts w:ascii="Arial" w:hAnsi="Arial" w:cs="Arial"/>
          <w:sz w:val="22"/>
          <w:szCs w:val="22"/>
        </w:rPr>
        <w:t xml:space="preserve">n Access Road, </w:t>
      </w:r>
    </w:p>
    <w:p w14:paraId="5757B78D" w14:textId="77777777" w:rsidR="00985FC2" w:rsidRDefault="007F7382" w:rsidP="00DE28C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85FC2">
        <w:rPr>
          <w:rFonts w:ascii="Arial" w:hAnsi="Arial" w:cs="Arial"/>
          <w:sz w:val="22"/>
          <w:szCs w:val="22"/>
        </w:rPr>
        <w:t xml:space="preserve">Civil works at the Polihali Village accommodation area and, </w:t>
      </w:r>
    </w:p>
    <w:p w14:paraId="5B297516" w14:textId="77777777" w:rsidR="00DC7E13" w:rsidRPr="00A51C0E" w:rsidRDefault="00985FC2" w:rsidP="00DE28C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F7382" w:rsidRPr="00985FC2">
        <w:rPr>
          <w:rFonts w:ascii="Arial" w:hAnsi="Arial" w:cs="Arial"/>
          <w:sz w:val="22"/>
          <w:szCs w:val="22"/>
        </w:rPr>
        <w:t>he short Diversion Tunnel around the Dam wall to mitigate any delays when the Dam construction commences</w:t>
      </w:r>
      <w:r w:rsidR="002F4090" w:rsidRPr="00985FC2">
        <w:rPr>
          <w:rFonts w:ascii="Arial" w:hAnsi="Arial" w:cs="Arial"/>
          <w:sz w:val="22"/>
          <w:szCs w:val="22"/>
        </w:rPr>
        <w:t>.</w:t>
      </w:r>
    </w:p>
    <w:p w14:paraId="607DB72A" w14:textId="77777777" w:rsidR="00985FC2" w:rsidRPr="0095517A" w:rsidRDefault="00985FC2" w:rsidP="00DE28C2">
      <w:pPr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No construction contracts have been awarded to date.</w:t>
      </w:r>
      <w:r>
        <w:rPr>
          <w:rFonts w:ascii="Arial" w:hAnsi="Arial" w:cs="Arial"/>
          <w:sz w:val="22"/>
          <w:szCs w:val="22"/>
        </w:rPr>
        <w:tab/>
      </w:r>
    </w:p>
    <w:p w14:paraId="51E8AEDB" w14:textId="77777777" w:rsidR="00DE28C2" w:rsidRDefault="00DE28C2" w:rsidP="00DE28C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6688F746" w14:textId="77777777" w:rsidR="002F4090" w:rsidRDefault="003176F6" w:rsidP="002F4090">
      <w:pPr>
        <w:rPr>
          <w:rFonts w:ascii="Arial" w:hAnsi="Arial" w:cs="Arial"/>
          <w:b/>
          <w:sz w:val="22"/>
          <w:u w:val="single"/>
          <w:lang w:val="en-ZA"/>
        </w:rPr>
        <w:sectPr w:rsidR="002F4090" w:rsidSect="002504B5">
          <w:headerReference w:type="even" r:id="rId8"/>
          <w:headerReference w:type="default" r:id="rId9"/>
          <w:footerReference w:type="default" r:id="rId10"/>
          <w:pgSz w:w="11906" w:h="16838"/>
          <w:pgMar w:top="540" w:right="566" w:bottom="540" w:left="709" w:header="706" w:footer="706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u w:val="single"/>
          <w:lang w:val="en-ZA"/>
        </w:rPr>
        <w:t xml:space="preserve"> </w:t>
      </w:r>
    </w:p>
    <w:p w14:paraId="2F8331F7" w14:textId="77777777" w:rsidR="00985FC2" w:rsidRDefault="00DF7604" w:rsidP="00985FC2">
      <w:pPr>
        <w:ind w:left="426" w:hanging="426"/>
        <w:jc w:val="right"/>
        <w:rPr>
          <w:rFonts w:ascii="Arial" w:hAnsi="Arial" w:cs="Arial"/>
          <w:b/>
          <w:sz w:val="22"/>
          <w:lang w:val="en-ZA"/>
        </w:rPr>
      </w:pPr>
      <w:r w:rsidRPr="00DF7604">
        <w:rPr>
          <w:rFonts w:ascii="Arial" w:hAnsi="Arial" w:cs="Arial"/>
          <w:b/>
          <w:sz w:val="22"/>
          <w:lang w:val="en-ZA"/>
        </w:rPr>
        <w:lastRenderedPageBreak/>
        <w:t xml:space="preserve">      </w:t>
      </w:r>
      <w:r w:rsidR="00985FC2">
        <w:rPr>
          <w:rFonts w:ascii="Arial" w:hAnsi="Arial" w:cs="Arial"/>
          <w:b/>
          <w:sz w:val="22"/>
          <w:lang w:val="en-ZA"/>
        </w:rPr>
        <w:t>Annexure A</w:t>
      </w:r>
    </w:p>
    <w:p w14:paraId="57209C08" w14:textId="77777777" w:rsidR="00985FC2" w:rsidRDefault="00985FC2" w:rsidP="00DF7604">
      <w:pPr>
        <w:ind w:left="426" w:hanging="426"/>
        <w:rPr>
          <w:rFonts w:ascii="Arial" w:hAnsi="Arial" w:cs="Arial"/>
          <w:b/>
          <w:sz w:val="22"/>
          <w:lang w:val="en-ZA"/>
        </w:rPr>
      </w:pPr>
    </w:p>
    <w:p w14:paraId="190ECDCE" w14:textId="77777777" w:rsidR="002F4090" w:rsidRPr="00A0177F" w:rsidRDefault="00DF7604" w:rsidP="007774AC">
      <w:pPr>
        <w:ind w:left="426" w:hanging="426"/>
        <w:rPr>
          <w:rFonts w:ascii="Arial" w:hAnsi="Arial" w:cs="Arial"/>
          <w:b/>
          <w:sz w:val="22"/>
          <w:lang w:val="en-ZA"/>
        </w:rPr>
      </w:pPr>
      <w:r w:rsidRPr="00DF7604">
        <w:rPr>
          <w:rFonts w:ascii="Arial" w:hAnsi="Arial" w:cs="Arial"/>
          <w:b/>
          <w:sz w:val="22"/>
          <w:lang w:val="en-ZA"/>
        </w:rPr>
        <w:t xml:space="preserve"> </w:t>
      </w:r>
      <w:r w:rsidR="00A0177F">
        <w:rPr>
          <w:rFonts w:ascii="Arial" w:hAnsi="Arial" w:cs="Arial"/>
          <w:b/>
          <w:sz w:val="22"/>
          <w:lang w:val="en-ZA"/>
        </w:rPr>
        <w:t>Phase II</w:t>
      </w:r>
      <w:r w:rsidR="002F4090" w:rsidRPr="00A0177F">
        <w:rPr>
          <w:rFonts w:ascii="Arial" w:hAnsi="Arial" w:cs="Arial"/>
          <w:b/>
          <w:sz w:val="22"/>
          <w:lang w:val="en-ZA"/>
        </w:rPr>
        <w:t>: Progress to date   (Budget figures exclude escalation)</w:t>
      </w:r>
      <w:r w:rsidR="007774AC" w:rsidRPr="00A0177F">
        <w:rPr>
          <w:rFonts w:ascii="Arial" w:hAnsi="Arial" w:cs="Arial"/>
          <w:b/>
          <w:sz w:val="22"/>
          <w:lang w:val="en-ZA"/>
        </w:rPr>
        <w:t>:</w:t>
      </w:r>
    </w:p>
    <w:tbl>
      <w:tblPr>
        <w:tblW w:w="14021" w:type="dxa"/>
        <w:tblInd w:w="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1843"/>
        <w:gridCol w:w="1417"/>
        <w:gridCol w:w="1560"/>
        <w:gridCol w:w="850"/>
        <w:gridCol w:w="4240"/>
      </w:tblGrid>
      <w:tr w:rsidR="002F4090" w:rsidRPr="00A0177F" w14:paraId="531EA66F" w14:textId="77777777" w:rsidTr="00A0177F">
        <w:trPr>
          <w:trHeight w:val="508"/>
        </w:trPr>
        <w:tc>
          <w:tcPr>
            <w:tcW w:w="41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67FA04B7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KEY items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7D93D91D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Milestone dates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D184F" w14:textId="77777777" w:rsidR="002F4090" w:rsidRPr="00A0177F" w:rsidRDefault="004C4BF7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Budget at completion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A6265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Cost to date</w:t>
            </w:r>
          </w:p>
          <w:p w14:paraId="68BD9268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Rand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9831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%</w:t>
            </w:r>
          </w:p>
          <w:p w14:paraId="512965AB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Invoiced</w:t>
            </w:r>
          </w:p>
        </w:tc>
        <w:tc>
          <w:tcPr>
            <w:tcW w:w="42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E311B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Comment</w:t>
            </w:r>
            <w:r w:rsidR="00A0177F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</w:t>
            </w:r>
            <w:r w:rsidR="004C4BF7"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(Reference Program V</w:t>
            </w: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11.0)</w:t>
            </w:r>
          </w:p>
        </w:tc>
      </w:tr>
      <w:tr w:rsidR="002F4090" w:rsidRPr="00A0177F" w14:paraId="429AF48F" w14:textId="77777777" w:rsidTr="00A0177F">
        <w:trPr>
          <w:trHeight w:val="282"/>
        </w:trPr>
        <w:tc>
          <w:tcPr>
            <w:tcW w:w="4111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</w:tcPr>
          <w:p w14:paraId="59E3D10E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Administrative cost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</w:tcPr>
          <w:p w14:paraId="13D7F309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Dec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357CA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329 052 613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BD113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272 428 720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0A6EF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82.7</w:t>
            </w:r>
          </w:p>
        </w:tc>
        <w:tc>
          <w:tcPr>
            <w:tcW w:w="424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10147" w14:textId="77777777" w:rsidR="002F4090" w:rsidRPr="00A0177F" w:rsidRDefault="002F4090" w:rsidP="00A0177F">
            <w:pPr>
              <w:ind w:left="144" w:hanging="144"/>
              <w:contextualSpacing/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</w:p>
        </w:tc>
      </w:tr>
      <w:tr w:rsidR="002F4090" w:rsidRPr="00A0177F" w14:paraId="6920D5E1" w14:textId="77777777" w:rsidTr="00A0177F">
        <w:trPr>
          <w:trHeight w:val="462"/>
        </w:trPr>
        <w:tc>
          <w:tcPr>
            <w:tcW w:w="41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4DA4DDDA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Advanced Infrastructure – design and supervision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48DFCE1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Apr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15 – Sept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2E0D0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252 502 764</w:t>
            </w:r>
          </w:p>
          <w:p w14:paraId="1CA760D5" w14:textId="77777777" w:rsidR="002F4090" w:rsidRPr="00A0177F" w:rsidRDefault="002F4090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A99FA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color w:val="000000"/>
                <w:sz w:val="16"/>
                <w:szCs w:val="16"/>
              </w:rPr>
              <w:t>120 194 418</w:t>
            </w:r>
          </w:p>
          <w:p w14:paraId="4F31FA6A" w14:textId="77777777" w:rsidR="002F4090" w:rsidRPr="00A0177F" w:rsidRDefault="002F4090" w:rsidP="007774AC">
            <w:pPr>
              <w:contextualSpacing/>
              <w:textAlignment w:val="bottom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0923E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47.7</w:t>
            </w:r>
          </w:p>
          <w:p w14:paraId="52D73747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08812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Average 2 months be</w:t>
            </w:r>
            <w:r w:rsid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hind schedule.  Budget includes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supervision costs.</w:t>
            </w:r>
          </w:p>
        </w:tc>
      </w:tr>
      <w:tr w:rsidR="002F4090" w:rsidRPr="00A0177F" w14:paraId="08A24829" w14:textId="77777777" w:rsidTr="00A0177F">
        <w:trPr>
          <w:trHeight w:val="3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2BBA138C" w14:textId="77777777" w:rsidR="002F4090" w:rsidRPr="00A0177F" w:rsidRDefault="002F4090" w:rsidP="00A0177F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Advance Infrastructure – construction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1C8CB089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May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18 – Aug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D46F8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4 125 620 005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871B6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F0FE3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136DB" w14:textId="77777777" w:rsidR="002F4090" w:rsidRPr="00A0177F" w:rsidRDefault="00DF7604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Various a</w:t>
            </w:r>
            <w:r w:rsidR="002F4090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wards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starts in May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="002F4090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18</w:t>
            </w:r>
          </w:p>
        </w:tc>
      </w:tr>
      <w:tr w:rsidR="002F4090" w:rsidRPr="00A0177F" w14:paraId="202988C9" w14:textId="77777777" w:rsidTr="00A0177F">
        <w:trPr>
          <w:trHeight w:val="39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54B703E4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Polihali Dam - design &amp; supervision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0C1D281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Jul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86B53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465 103 216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A2EF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13 541 039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5F99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2.9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5598E" w14:textId="77777777" w:rsidR="002F4090" w:rsidRPr="00A0177F" w:rsidRDefault="002F4090" w:rsidP="00A0177F">
            <w:pPr>
              <w:ind w:left="115" w:hanging="115"/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Design on programme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. Budget includes </w:t>
            </w:r>
            <w:r w:rsidR="00150271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supervision costs.</w:t>
            </w:r>
          </w:p>
        </w:tc>
      </w:tr>
      <w:tr w:rsidR="002F4090" w:rsidRPr="00A0177F" w14:paraId="57A4B43F" w14:textId="77777777" w:rsidTr="00A0177F">
        <w:trPr>
          <w:trHeight w:val="26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74714595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Polihali Dam – construction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388758AB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Feb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 (Start)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1758F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3 800 000 000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7B5D5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77FC6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AF23" w14:textId="77777777" w:rsidR="002F4090" w:rsidRPr="00A0177F" w:rsidRDefault="002F4090" w:rsidP="00A0177F">
            <w:pPr>
              <w:ind w:left="115" w:hanging="115"/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To be awarded by Feb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="00150271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, Completion date - Dec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="00150271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25</w:t>
            </w:r>
          </w:p>
        </w:tc>
      </w:tr>
      <w:tr w:rsidR="002F4090" w:rsidRPr="00A0177F" w14:paraId="63832CE0" w14:textId="77777777" w:rsidTr="00A0177F">
        <w:trPr>
          <w:trHeight w:val="45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</w:tcPr>
          <w:p w14:paraId="64A3A941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Geotechnical investigations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</w:tcPr>
          <w:p w14:paraId="75A110AE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Apr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9DCE5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42 719 213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C166E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color w:val="000000"/>
                <w:sz w:val="16"/>
                <w:szCs w:val="16"/>
              </w:rPr>
              <w:t>29 881 290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5609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83B2F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3 months behind due to flooding and cashflow problems</w:t>
            </w:r>
            <w:r w:rsid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. </w:t>
            </w:r>
            <w:r w:rsidR="00B542A8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Alternatives considered</w:t>
            </w:r>
          </w:p>
        </w:tc>
      </w:tr>
      <w:tr w:rsidR="002F4090" w:rsidRPr="00A0177F" w14:paraId="36B458AA" w14:textId="77777777" w:rsidTr="00A0177F">
        <w:trPr>
          <w:trHeight w:val="25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3A5D6D0F" w14:textId="77777777" w:rsidR="002F4090" w:rsidRPr="00A0177F" w:rsidRDefault="002F4090" w:rsidP="00A0177F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Diversion tunn</w:t>
            </w:r>
            <w:r w:rsid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el around dam wall – design and </w:t>
            </w: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supervision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2D2DB091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Sept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16 – Sept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B7587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82 460 557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8A77E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22 883 723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E5263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27.8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B49A0" w14:textId="77777777" w:rsidR="002F4090" w:rsidRPr="00A0177F" w:rsidRDefault="002F4090" w:rsidP="00A0177F">
            <w:pPr>
              <w:ind w:left="144" w:hanging="144"/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On programme. Non critical item</w:t>
            </w:r>
          </w:p>
        </w:tc>
      </w:tr>
      <w:tr w:rsidR="002F4090" w:rsidRPr="00A0177F" w14:paraId="5C710A79" w14:textId="77777777" w:rsidTr="00A0177F">
        <w:trPr>
          <w:trHeight w:val="42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3FBA4DEC" w14:textId="77777777" w:rsidR="002F4090" w:rsidRPr="00A0177F" w:rsidRDefault="002F4090" w:rsidP="00A0177F">
            <w:pPr>
              <w:ind w:left="144" w:hanging="144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Diversion tunnel around dam wall –   construction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694C1A3E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May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18 – Sept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7AF9D" w14:textId="77777777" w:rsidR="002F4090" w:rsidRPr="00A0177F" w:rsidRDefault="002F4090" w:rsidP="006A40BC">
            <w:pPr>
              <w:ind w:left="268" w:hanging="268"/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8F3E1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0AA0D" w14:textId="77777777" w:rsidR="002F4090" w:rsidRPr="006A40BC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867C0" w14:textId="77777777" w:rsidR="002F4090" w:rsidRPr="006A40BC" w:rsidRDefault="002F4090" w:rsidP="006A40BC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To be awarded </w:t>
            </w:r>
            <w:r w:rsidR="006A40BC"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by</w:t>
            </w:r>
            <w:r w:rsidR="00150271"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 </w:t>
            </w:r>
            <w:r w:rsidR="00BA2F0E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end of </w:t>
            </w:r>
            <w:r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May </w:t>
            </w:r>
            <w:r w:rsidR="00A0177F"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20</w:t>
            </w:r>
            <w:r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18</w:t>
            </w:r>
          </w:p>
        </w:tc>
      </w:tr>
      <w:tr w:rsidR="002F4090" w:rsidRPr="00A0177F" w14:paraId="5D4D9089" w14:textId="77777777" w:rsidTr="00A0177F">
        <w:trPr>
          <w:trHeight w:val="4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77ABADB7" w14:textId="77777777" w:rsidR="002F4090" w:rsidRPr="00A0177F" w:rsidRDefault="002F4090" w:rsidP="007774AC">
            <w:pPr>
              <w:ind w:left="144" w:hanging="144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Polihali to Katse Tunnel  - design and   supervision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10344144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Nov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883E0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ZA"/>
              </w:rPr>
              <w:t xml:space="preserve"> </w:t>
            </w:r>
            <w:r w:rsidR="002F4090" w:rsidRPr="00A0177F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ZA"/>
              </w:rPr>
              <w:t>920 000 000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80EBB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9D40E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8F8CC" w14:textId="77777777" w:rsidR="002F4090" w:rsidRPr="00A0177F" w:rsidRDefault="002F4090" w:rsidP="00A0177F">
            <w:pPr>
              <w:ind w:left="115" w:hanging="115"/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Awarded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in</w:t>
            </w:r>
            <w:r w:rsidR="00150271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Nov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17</w:t>
            </w:r>
            <w:r w:rsidR="00150271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. Budget includes supervision costs.</w:t>
            </w:r>
          </w:p>
        </w:tc>
      </w:tr>
      <w:tr w:rsidR="002F4090" w:rsidRPr="00A0177F" w14:paraId="13CD786C" w14:textId="77777777" w:rsidTr="00A0177F">
        <w:trPr>
          <w:trHeight w:val="29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03AEBD3A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Polihali to Katse Tunnel – construction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619E0B4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May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 (Start)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4496A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4 500 000 000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2314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B7941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774ED" w14:textId="77777777" w:rsidR="002F4090" w:rsidRPr="00A0177F" w:rsidRDefault="00150271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To be awarded by</w:t>
            </w:r>
            <w:r w:rsidR="002F4090" w:rsidRPr="00A0177F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 May </w:t>
            </w:r>
            <w:r w:rsidR="00A0177F" w:rsidRPr="00A0177F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20</w:t>
            </w:r>
            <w:r w:rsidR="002F4090" w:rsidRPr="00A0177F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.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Completion date – Feb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26</w:t>
            </w:r>
          </w:p>
        </w:tc>
      </w:tr>
      <w:tr w:rsidR="002F4090" w:rsidRPr="00A0177F" w14:paraId="6A6FAA44" w14:textId="77777777" w:rsidTr="00A0177F">
        <w:trPr>
          <w:trHeight w:val="41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4C919649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ZA"/>
              </w:rPr>
              <w:t>Social development projects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083F3A33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 xml:space="preserve">Present to Dec </w:t>
            </w:r>
            <w:r w:rsidR="00A0177F"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87B88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128 722 147</w:t>
            </w:r>
          </w:p>
          <w:p w14:paraId="66981BC5" w14:textId="77777777" w:rsidR="002F4090" w:rsidRPr="00A0177F" w:rsidRDefault="002F4090" w:rsidP="007774AC">
            <w:pPr>
              <w:ind w:left="268" w:hanging="268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E4F12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color w:val="000000"/>
                <w:sz w:val="16"/>
                <w:szCs w:val="16"/>
              </w:rPr>
              <w:t>39 862 675</w:t>
            </w:r>
          </w:p>
          <w:p w14:paraId="46DC6511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E1D03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BBBC7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3 months behind on average</w:t>
            </w:r>
            <w:r w:rsid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.</w:t>
            </w:r>
            <w:r w:rsidR="00A0177F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Resettlements will be completed in time for construction</w:t>
            </w:r>
          </w:p>
        </w:tc>
      </w:tr>
      <w:tr w:rsidR="002F4090" w:rsidRPr="00A0177F" w14:paraId="3E6A97D1" w14:textId="77777777" w:rsidTr="00A0177F">
        <w:trPr>
          <w:trHeight w:val="25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58E3DEF9" w14:textId="77777777" w:rsidR="002F4090" w:rsidRPr="00A0177F" w:rsidRDefault="002F4090" w:rsidP="00A0177F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ZA"/>
              </w:rPr>
              <w:t>Environmental projects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38EDE25B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 xml:space="preserve">Present to Dec </w:t>
            </w:r>
            <w:r w:rsidR="00A0177F"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1861E" w14:textId="77777777" w:rsidR="002F4090" w:rsidRPr="00A0177F" w:rsidRDefault="00150271" w:rsidP="007774AC">
            <w:pPr>
              <w:ind w:left="268" w:hanging="268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4090" w:rsidRPr="00A01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53 646 560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2E432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26 837 363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92DF4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4B0AC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Studies and designs on programme</w:t>
            </w:r>
          </w:p>
        </w:tc>
      </w:tr>
      <w:tr w:rsidR="002F4090" w:rsidRPr="00A0177F" w14:paraId="101D976B" w14:textId="77777777" w:rsidTr="00A0177F">
        <w:trPr>
          <w:trHeight w:val="28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1A4F04E5" w14:textId="77777777" w:rsidR="002F4090" w:rsidRPr="00A0177F" w:rsidRDefault="002F4090" w:rsidP="007774AC">
            <w:pPr>
              <w:ind w:left="115" w:hanging="115"/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Start impounding water in  Polihali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647B821B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Nov/Dec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B397F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9A85D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CA890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B7FAC" w14:textId="77777777" w:rsidR="002F4090" w:rsidRPr="00A0177F" w:rsidRDefault="002F4090" w:rsidP="00A0177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On </w:t>
            </w:r>
            <w:proofErr w:type="spellStart"/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programme</w:t>
            </w:r>
            <w:proofErr w:type="spellEnd"/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Ver</w:t>
            </w:r>
            <w:proofErr w:type="spellEnd"/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 11.0</w:t>
            </w:r>
          </w:p>
        </w:tc>
      </w:tr>
      <w:tr w:rsidR="002F4090" w:rsidRPr="00A0177F" w14:paraId="5DC59E18" w14:textId="77777777" w:rsidTr="00A0177F">
        <w:trPr>
          <w:trHeight w:val="74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BF1DE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5A46A49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Water delivery into Katse Dam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23" w:type="dxa"/>
            </w:tcMar>
            <w:hideMark/>
          </w:tcPr>
          <w:p w14:paraId="6325CC1D" w14:textId="77777777" w:rsidR="002F4090" w:rsidRPr="00A0177F" w:rsidRDefault="00A0177F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>By</w:t>
            </w:r>
            <w:r w:rsidR="002F4090" w:rsidRPr="006A40BC">
              <w:rPr>
                <w:rFonts w:ascii="Arial" w:hAnsi="Arial" w:cs="Arial"/>
                <w:kern w:val="24"/>
                <w:sz w:val="16"/>
                <w:szCs w:val="16"/>
                <w:lang w:eastAsia="en-ZA"/>
              </w:rPr>
              <w:t xml:space="preserve"> </w:t>
            </w:r>
            <w:r w:rsidR="003C7688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end </w:t>
            </w:r>
            <w:r w:rsidR="002F4090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Jan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="002F4090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44D67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A2C3A" w14:textId="77777777" w:rsidR="002F4090" w:rsidRPr="00A0177F" w:rsidRDefault="002F4090" w:rsidP="006A40B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F95AC" w14:textId="77777777" w:rsidR="002F4090" w:rsidRPr="00A0177F" w:rsidRDefault="002F4090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DB0D7" w14:textId="77777777" w:rsidR="002F4090" w:rsidRPr="00A0177F" w:rsidRDefault="003C7688" w:rsidP="00A0177F">
            <w:pPr>
              <w:contextualSpacing/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Water in storage since Nov </w:t>
            </w:r>
            <w:r w:rsidR="00A0177F"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20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23</w:t>
            </w:r>
          </w:p>
          <w:p w14:paraId="7E45FB46" w14:textId="77777777" w:rsidR="00DF7604" w:rsidRPr="00A0177F" w:rsidRDefault="00DF7604" w:rsidP="00A0177F">
            <w:pPr>
              <w:ind w:left="-17"/>
              <w:contextualSpacing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Volume of transfers to </w:t>
            </w:r>
            <w:r w:rsid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 xml:space="preserve">Katse Dam will  be dependent on </w:t>
            </w: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the agreement reached with Lesotho on the new Operational Rules of the LHWP</w:t>
            </w:r>
          </w:p>
        </w:tc>
      </w:tr>
      <w:tr w:rsidR="00A0177F" w:rsidRPr="00A0177F" w14:paraId="603CF8DD" w14:textId="77777777" w:rsidTr="00435361">
        <w:trPr>
          <w:trHeight w:val="411"/>
        </w:trPr>
        <w:tc>
          <w:tcPr>
            <w:tcW w:w="5954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" w:type="dxa"/>
              <w:left w:w="17" w:type="dxa"/>
              <w:bottom w:w="0" w:type="dxa"/>
              <w:right w:w="17" w:type="dxa"/>
            </w:tcMar>
            <w:hideMark/>
          </w:tcPr>
          <w:p w14:paraId="014EEDB1" w14:textId="77777777" w:rsidR="00A0177F" w:rsidRPr="00A0177F" w:rsidRDefault="00A0177F" w:rsidP="00A0177F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ESTIMATED COST  AT   COMPLETION INCLUDING ESCALATION AND CONTINGENCIES</w:t>
            </w:r>
          </w:p>
          <w:p w14:paraId="4C015327" w14:textId="77777777" w:rsidR="00A0177F" w:rsidRPr="00A0177F" w:rsidRDefault="00A0177F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FCD51" w14:textId="77777777" w:rsidR="00A0177F" w:rsidRPr="00A0177F" w:rsidRDefault="00A0177F" w:rsidP="007774AC">
            <w:pPr>
              <w:contextualSpacing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ZA"/>
              </w:rPr>
              <w:t>24,326</w:t>
            </w:r>
            <w:r w:rsidRPr="00A0177F"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ZA"/>
              </w:rPr>
              <w:t xml:space="preserve"> </w:t>
            </w: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bill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49309" w14:textId="77777777" w:rsidR="00A0177F" w:rsidRPr="00A0177F" w:rsidRDefault="00A0177F" w:rsidP="007774AC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7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525 629 228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9AEB6" w14:textId="77777777" w:rsidR="00A0177F" w:rsidRPr="00A0177F" w:rsidRDefault="00A0177F" w:rsidP="007774AC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2.7%</w:t>
            </w:r>
          </w:p>
        </w:tc>
        <w:tc>
          <w:tcPr>
            <w:tcW w:w="424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07248" w14:textId="77777777" w:rsidR="00A0177F" w:rsidRPr="00A0177F" w:rsidRDefault="00A0177F" w:rsidP="00A0177F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A0177F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eastAsia="en-ZA"/>
              </w:rPr>
              <w:t>Scheduled complete 3.48%</w:t>
            </w:r>
          </w:p>
        </w:tc>
      </w:tr>
    </w:tbl>
    <w:p w14:paraId="1E2425C8" w14:textId="77777777" w:rsidR="00C82A2C" w:rsidRPr="0095517A" w:rsidRDefault="009D28E7" w:rsidP="009D28E7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sectPr w:rsidR="00C82A2C" w:rsidRPr="0095517A" w:rsidSect="009D28E7">
      <w:pgSz w:w="16838" w:h="11906" w:orient="landscape"/>
      <w:pgMar w:top="1080" w:right="533" w:bottom="1138" w:left="533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BE5F" w14:textId="77777777" w:rsidR="00C01841" w:rsidRDefault="00C01841">
      <w:r>
        <w:separator/>
      </w:r>
    </w:p>
  </w:endnote>
  <w:endnote w:type="continuationSeparator" w:id="0">
    <w:p w14:paraId="6DD3458B" w14:textId="77777777" w:rsidR="00C01841" w:rsidRDefault="00C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944A" w14:textId="77777777" w:rsidR="002504B5" w:rsidRPr="002504B5" w:rsidRDefault="002504B5" w:rsidP="002504B5">
    <w:pPr>
      <w:pStyle w:val="Header"/>
      <w:jc w:val="center"/>
      <w:rPr>
        <w:rFonts w:ascii="Arial" w:hAnsi="Arial" w:cs="Arial"/>
        <w:b/>
        <w:color w:val="FF0000"/>
        <w:sz w:val="20"/>
        <w:szCs w:val="20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27EB" w14:textId="77777777" w:rsidR="00C01841" w:rsidRDefault="00C01841">
      <w:r>
        <w:separator/>
      </w:r>
    </w:p>
  </w:footnote>
  <w:footnote w:type="continuationSeparator" w:id="0">
    <w:p w14:paraId="1D0116FA" w14:textId="77777777" w:rsidR="00C01841" w:rsidRDefault="00C0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8A28" w14:textId="77777777" w:rsidR="00EC4920" w:rsidRDefault="00C24EA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8DC53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664F" w14:textId="77777777" w:rsidR="002504B5" w:rsidRPr="002504B5" w:rsidRDefault="002504B5" w:rsidP="002504B5">
    <w:pPr>
      <w:pStyle w:val="Header"/>
      <w:jc w:val="center"/>
      <w:rPr>
        <w:rFonts w:ascii="Arial" w:hAnsi="Arial" w:cs="Arial"/>
        <w:b/>
        <w:color w:val="FF0000"/>
        <w:sz w:val="20"/>
        <w:szCs w:val="20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982"/>
    <w:multiLevelType w:val="hybridMultilevel"/>
    <w:tmpl w:val="5F721316"/>
    <w:lvl w:ilvl="0" w:tplc="6C0EC9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400"/>
    <w:multiLevelType w:val="hybridMultilevel"/>
    <w:tmpl w:val="5E0A379C"/>
    <w:lvl w:ilvl="0" w:tplc="641E5A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70AFA"/>
    <w:multiLevelType w:val="hybridMultilevel"/>
    <w:tmpl w:val="C166DB2E"/>
    <w:lvl w:ilvl="0" w:tplc="1C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37DFB"/>
    <w:multiLevelType w:val="hybridMultilevel"/>
    <w:tmpl w:val="92A0977A"/>
    <w:lvl w:ilvl="0" w:tplc="824073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5607A6"/>
    <w:multiLevelType w:val="hybridMultilevel"/>
    <w:tmpl w:val="E446178A"/>
    <w:lvl w:ilvl="0" w:tplc="924603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7C05B6"/>
    <w:multiLevelType w:val="hybridMultilevel"/>
    <w:tmpl w:val="79287342"/>
    <w:lvl w:ilvl="0" w:tplc="1C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3A6179"/>
    <w:multiLevelType w:val="hybridMultilevel"/>
    <w:tmpl w:val="A1F22856"/>
    <w:lvl w:ilvl="0" w:tplc="1C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2DD3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4671F"/>
    <w:rsid w:val="0015027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B69B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04B5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4090"/>
    <w:rsid w:val="002F5A12"/>
    <w:rsid w:val="002F68D5"/>
    <w:rsid w:val="003016A3"/>
    <w:rsid w:val="003175DB"/>
    <w:rsid w:val="003176F6"/>
    <w:rsid w:val="00317852"/>
    <w:rsid w:val="00321778"/>
    <w:rsid w:val="00322BDC"/>
    <w:rsid w:val="00330424"/>
    <w:rsid w:val="003358E6"/>
    <w:rsid w:val="003375A7"/>
    <w:rsid w:val="003407C4"/>
    <w:rsid w:val="00342459"/>
    <w:rsid w:val="003474EA"/>
    <w:rsid w:val="0035000E"/>
    <w:rsid w:val="00355562"/>
    <w:rsid w:val="0036058F"/>
    <w:rsid w:val="003607FC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688"/>
    <w:rsid w:val="003C7751"/>
    <w:rsid w:val="003D1219"/>
    <w:rsid w:val="003E0A38"/>
    <w:rsid w:val="003E5759"/>
    <w:rsid w:val="003F0B88"/>
    <w:rsid w:val="003F20AB"/>
    <w:rsid w:val="003F30C2"/>
    <w:rsid w:val="003F41FD"/>
    <w:rsid w:val="004028C5"/>
    <w:rsid w:val="004029B9"/>
    <w:rsid w:val="00403AFE"/>
    <w:rsid w:val="00410915"/>
    <w:rsid w:val="004125D0"/>
    <w:rsid w:val="004145E5"/>
    <w:rsid w:val="004148A5"/>
    <w:rsid w:val="004177F6"/>
    <w:rsid w:val="00421BDC"/>
    <w:rsid w:val="00423103"/>
    <w:rsid w:val="004255F2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758B"/>
    <w:rsid w:val="00467D5C"/>
    <w:rsid w:val="00472ECA"/>
    <w:rsid w:val="00475FE0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BF7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5BE2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44AF0"/>
    <w:rsid w:val="006507D5"/>
    <w:rsid w:val="006536D5"/>
    <w:rsid w:val="00660EE8"/>
    <w:rsid w:val="0066365B"/>
    <w:rsid w:val="00677C2D"/>
    <w:rsid w:val="0069377A"/>
    <w:rsid w:val="00696BD5"/>
    <w:rsid w:val="006A1BF0"/>
    <w:rsid w:val="006A2910"/>
    <w:rsid w:val="006A40BC"/>
    <w:rsid w:val="006A467A"/>
    <w:rsid w:val="006B01B0"/>
    <w:rsid w:val="006B1185"/>
    <w:rsid w:val="006B25FC"/>
    <w:rsid w:val="006B6C77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ED8"/>
    <w:rsid w:val="00752BD6"/>
    <w:rsid w:val="007558EF"/>
    <w:rsid w:val="00770713"/>
    <w:rsid w:val="00773936"/>
    <w:rsid w:val="00774A4F"/>
    <w:rsid w:val="00775861"/>
    <w:rsid w:val="007761D2"/>
    <w:rsid w:val="007774AC"/>
    <w:rsid w:val="007774DA"/>
    <w:rsid w:val="00782064"/>
    <w:rsid w:val="0078394E"/>
    <w:rsid w:val="0078540A"/>
    <w:rsid w:val="00787F2E"/>
    <w:rsid w:val="00796C45"/>
    <w:rsid w:val="007A380F"/>
    <w:rsid w:val="007A4569"/>
    <w:rsid w:val="007B1B06"/>
    <w:rsid w:val="007B2D7B"/>
    <w:rsid w:val="007B58C8"/>
    <w:rsid w:val="007B5FA6"/>
    <w:rsid w:val="007B7BE5"/>
    <w:rsid w:val="007C3FE9"/>
    <w:rsid w:val="007C754A"/>
    <w:rsid w:val="007E2250"/>
    <w:rsid w:val="007E4C7C"/>
    <w:rsid w:val="007E4E3D"/>
    <w:rsid w:val="007E69E6"/>
    <w:rsid w:val="007F17EC"/>
    <w:rsid w:val="007F26AE"/>
    <w:rsid w:val="007F7382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24918"/>
    <w:rsid w:val="0093147C"/>
    <w:rsid w:val="00941093"/>
    <w:rsid w:val="00941E0F"/>
    <w:rsid w:val="00943A80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C2"/>
    <w:rsid w:val="00995F3C"/>
    <w:rsid w:val="009A5459"/>
    <w:rsid w:val="009B1473"/>
    <w:rsid w:val="009B29E4"/>
    <w:rsid w:val="009B3315"/>
    <w:rsid w:val="009B44A2"/>
    <w:rsid w:val="009B5458"/>
    <w:rsid w:val="009C0876"/>
    <w:rsid w:val="009C0EB1"/>
    <w:rsid w:val="009C317A"/>
    <w:rsid w:val="009C7B03"/>
    <w:rsid w:val="009D0ED4"/>
    <w:rsid w:val="009D17F3"/>
    <w:rsid w:val="009D28E7"/>
    <w:rsid w:val="009D4313"/>
    <w:rsid w:val="009E19CB"/>
    <w:rsid w:val="009E370B"/>
    <w:rsid w:val="009E55B3"/>
    <w:rsid w:val="009E5677"/>
    <w:rsid w:val="009F276C"/>
    <w:rsid w:val="009F76B4"/>
    <w:rsid w:val="00A00641"/>
    <w:rsid w:val="00A0177F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C0E"/>
    <w:rsid w:val="00A55BCF"/>
    <w:rsid w:val="00A6020A"/>
    <w:rsid w:val="00A62452"/>
    <w:rsid w:val="00A6340A"/>
    <w:rsid w:val="00A63AD5"/>
    <w:rsid w:val="00A70AC8"/>
    <w:rsid w:val="00A820E7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2C14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42A8"/>
    <w:rsid w:val="00B64DBD"/>
    <w:rsid w:val="00B67A15"/>
    <w:rsid w:val="00B7476D"/>
    <w:rsid w:val="00B829FF"/>
    <w:rsid w:val="00B83118"/>
    <w:rsid w:val="00B8630A"/>
    <w:rsid w:val="00B87386"/>
    <w:rsid w:val="00B902E5"/>
    <w:rsid w:val="00B972CE"/>
    <w:rsid w:val="00BA2F0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264"/>
    <w:rsid w:val="00BF06B9"/>
    <w:rsid w:val="00BF16A4"/>
    <w:rsid w:val="00C01841"/>
    <w:rsid w:val="00C01DB2"/>
    <w:rsid w:val="00C053A4"/>
    <w:rsid w:val="00C06905"/>
    <w:rsid w:val="00C06F36"/>
    <w:rsid w:val="00C179BF"/>
    <w:rsid w:val="00C205F2"/>
    <w:rsid w:val="00C20C12"/>
    <w:rsid w:val="00C2124A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27FE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92FAB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C7E13"/>
    <w:rsid w:val="00DD04B1"/>
    <w:rsid w:val="00DD0884"/>
    <w:rsid w:val="00DD307F"/>
    <w:rsid w:val="00DD4001"/>
    <w:rsid w:val="00DD43F8"/>
    <w:rsid w:val="00DE28C2"/>
    <w:rsid w:val="00DE5267"/>
    <w:rsid w:val="00DF04F3"/>
    <w:rsid w:val="00DF4239"/>
    <w:rsid w:val="00DF4C1C"/>
    <w:rsid w:val="00DF7604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6B5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169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A436D3D"/>
  <w15:docId w15:val="{37316E56-A9D2-4B8E-B66A-798CA4B2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77F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5C5-1202-4611-9908-7C041C6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2010-09-13T06:14:00Z</cp:lastPrinted>
  <dcterms:created xsi:type="dcterms:W3CDTF">2018-05-21T12:41:00Z</dcterms:created>
  <dcterms:modified xsi:type="dcterms:W3CDTF">2018-05-21T12:41:00Z</dcterms:modified>
</cp:coreProperties>
</file>