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BE13C3" w:rsidRPr="00B23F3E" w:rsidTr="00BE13C3">
        <w:tc>
          <w:tcPr>
            <w:tcW w:w="9360" w:type="dxa"/>
          </w:tcPr>
          <w:p w:rsidR="00BE13C3" w:rsidRDefault="00BE13C3" w:rsidP="00BE13C3">
            <w:pPr>
              <w:jc w:val="center"/>
              <w:rPr>
                <w:rFonts w:cs="Arial"/>
                <w:b/>
              </w:rPr>
            </w:pPr>
          </w:p>
          <w:p w:rsidR="00BE13C3" w:rsidRPr="00B23F3E" w:rsidRDefault="00BE13C3" w:rsidP="00BE13C3">
            <w:pPr>
              <w:jc w:val="center"/>
              <w:rPr>
                <w:rFonts w:cs="Arial"/>
                <w:b/>
              </w:rPr>
            </w:pPr>
            <w:r w:rsidRPr="00B23F3E">
              <w:rPr>
                <w:rFonts w:cs="Arial"/>
                <w:b/>
              </w:rPr>
              <w:t>PARLIAMENT OF THE REPUBLIC OF SOUTH AFRICA</w:t>
            </w:r>
          </w:p>
          <w:p w:rsidR="00BE13C3" w:rsidRDefault="00BE13C3" w:rsidP="00BE13C3">
            <w:pPr>
              <w:ind w:left="540" w:hanging="540"/>
              <w:jc w:val="center"/>
              <w:rPr>
                <w:rFonts w:cs="Arial"/>
                <w:b/>
              </w:rPr>
            </w:pPr>
            <w:r w:rsidRPr="00B23F3E">
              <w:rPr>
                <w:rFonts w:cs="Arial"/>
                <w:b/>
              </w:rPr>
              <w:t>NATIONAL ASSEMBLY</w:t>
            </w:r>
          </w:p>
          <w:p w:rsidR="00BE13C3" w:rsidRPr="00B23F3E" w:rsidRDefault="00BE13C3" w:rsidP="00BE13C3">
            <w:pPr>
              <w:ind w:left="540" w:hanging="540"/>
              <w:jc w:val="center"/>
              <w:rPr>
                <w:rFonts w:cs="Arial"/>
              </w:rPr>
            </w:pPr>
          </w:p>
        </w:tc>
      </w:tr>
    </w:tbl>
    <w:p w:rsidR="00BE13C3" w:rsidRDefault="00BE13C3" w:rsidP="00BE13C3">
      <w:pPr>
        <w:ind w:left="540" w:hanging="540"/>
        <w:rPr>
          <w:rFonts w:cs="Arial"/>
        </w:rPr>
      </w:pPr>
    </w:p>
    <w:p w:rsidR="00BE13C3" w:rsidRPr="00B23F3E" w:rsidRDefault="00BE13C3" w:rsidP="00BE13C3">
      <w:pPr>
        <w:ind w:left="540" w:hanging="540"/>
        <w:rPr>
          <w:rFonts w:cs="Arial"/>
        </w:rPr>
      </w:pPr>
    </w:p>
    <w:p w:rsidR="00BE13C3" w:rsidRPr="00B97A67" w:rsidRDefault="00B97A67" w:rsidP="00B97A67">
      <w:pPr>
        <w:spacing w:line="360" w:lineRule="auto"/>
        <w:rPr>
          <w:rFonts w:cs="Arial"/>
          <w:b/>
          <w:sz w:val="24"/>
          <w:szCs w:val="24"/>
        </w:rPr>
      </w:pPr>
      <w:r w:rsidRPr="00B97A67">
        <w:rPr>
          <w:rFonts w:cs="Arial"/>
          <w:b/>
          <w:sz w:val="24"/>
          <w:szCs w:val="24"/>
        </w:rPr>
        <w:t xml:space="preserve">QUESTION </w:t>
      </w:r>
      <w:r w:rsidR="00BE13C3" w:rsidRPr="00B97A67">
        <w:rPr>
          <w:rFonts w:cs="Arial"/>
          <w:b/>
          <w:sz w:val="24"/>
          <w:szCs w:val="24"/>
        </w:rPr>
        <w:t>FOR WRITTEN REPLY</w:t>
      </w:r>
    </w:p>
    <w:p w:rsidR="00ED491A" w:rsidRPr="00B97A67" w:rsidRDefault="00B97A67" w:rsidP="00B97A67">
      <w:pPr>
        <w:spacing w:line="360" w:lineRule="auto"/>
        <w:rPr>
          <w:rFonts w:cs="Arial"/>
          <w:b/>
          <w:sz w:val="24"/>
          <w:szCs w:val="24"/>
        </w:rPr>
      </w:pPr>
      <w:r w:rsidRPr="00B97A67">
        <w:rPr>
          <w:rFonts w:cs="Arial"/>
          <w:b/>
          <w:sz w:val="24"/>
          <w:szCs w:val="24"/>
        </w:rPr>
        <w:t xml:space="preserve">PARLIAMENTARY </w:t>
      </w:r>
      <w:r w:rsidR="00ED491A" w:rsidRPr="00B97A67">
        <w:rPr>
          <w:rFonts w:cs="Arial"/>
          <w:b/>
          <w:sz w:val="24"/>
          <w:szCs w:val="24"/>
        </w:rPr>
        <w:t xml:space="preserve">QUESTION </w:t>
      </w:r>
      <w:r w:rsidRPr="00B97A67">
        <w:rPr>
          <w:rFonts w:cs="Arial"/>
          <w:b/>
          <w:sz w:val="24"/>
          <w:szCs w:val="24"/>
        </w:rPr>
        <w:t xml:space="preserve">NO: </w:t>
      </w:r>
      <w:r w:rsidR="00EC3D8D" w:rsidRPr="00B97A67">
        <w:rPr>
          <w:rFonts w:cs="Arial"/>
          <w:b/>
          <w:sz w:val="24"/>
          <w:szCs w:val="24"/>
        </w:rPr>
        <w:t>1257</w:t>
      </w:r>
    </w:p>
    <w:p w:rsidR="00B97A67" w:rsidRPr="00B97A67" w:rsidRDefault="00B97A67" w:rsidP="00B97A67">
      <w:pPr>
        <w:spacing w:line="360" w:lineRule="auto"/>
        <w:rPr>
          <w:rFonts w:cs="Arial"/>
          <w:b/>
          <w:sz w:val="24"/>
          <w:szCs w:val="24"/>
        </w:rPr>
      </w:pPr>
      <w:r w:rsidRPr="00B97A67">
        <w:rPr>
          <w:rFonts w:cs="Arial"/>
          <w:b/>
          <w:sz w:val="24"/>
          <w:szCs w:val="24"/>
        </w:rPr>
        <w:t>DATE OF QUESTION: 01 APRIL 2022</w:t>
      </w:r>
    </w:p>
    <w:p w:rsidR="00B97A67" w:rsidRPr="00B97A67" w:rsidRDefault="00B97A67" w:rsidP="00B97A67">
      <w:pPr>
        <w:spacing w:line="360" w:lineRule="auto"/>
        <w:rPr>
          <w:rFonts w:cs="Arial"/>
          <w:b/>
          <w:sz w:val="24"/>
          <w:szCs w:val="24"/>
        </w:rPr>
      </w:pPr>
      <w:r w:rsidRPr="00B97A67">
        <w:rPr>
          <w:rFonts w:cs="Arial"/>
          <w:b/>
          <w:sz w:val="24"/>
          <w:szCs w:val="24"/>
        </w:rPr>
        <w:t>DATE OF SUBMISSION: 19 APRIL 2022</w:t>
      </w:r>
    </w:p>
    <w:p w:rsidR="00ED491A" w:rsidRPr="00ED491A" w:rsidRDefault="00ED491A" w:rsidP="00ED491A">
      <w:pPr>
        <w:rPr>
          <w:rFonts w:cs="Arial"/>
          <w:b/>
          <w:sz w:val="24"/>
          <w:szCs w:val="24"/>
          <w:u w:val="single"/>
        </w:rPr>
      </w:pPr>
    </w:p>
    <w:p w:rsidR="004B6288" w:rsidRPr="004B6288" w:rsidRDefault="004B6288" w:rsidP="004B6288">
      <w:pPr>
        <w:rPr>
          <w:rFonts w:cs="Arial"/>
          <w:b/>
          <w:sz w:val="24"/>
          <w:szCs w:val="24"/>
        </w:rPr>
      </w:pPr>
    </w:p>
    <w:p w:rsidR="00EC3D8D" w:rsidRDefault="00EC3D8D" w:rsidP="00EC3D8D">
      <w:pPr>
        <w:rPr>
          <w:rFonts w:cs="Arial"/>
          <w:b/>
          <w:sz w:val="24"/>
          <w:szCs w:val="24"/>
        </w:rPr>
      </w:pPr>
      <w:r w:rsidRPr="00EC3D8D">
        <w:rPr>
          <w:rFonts w:cs="Arial"/>
          <w:b/>
          <w:sz w:val="24"/>
          <w:szCs w:val="24"/>
        </w:rPr>
        <w:t>Prof C T Msimang (IFP) to ask the Minister of Justice and Correctional Services:</w:t>
      </w:r>
    </w:p>
    <w:p w:rsidR="00EC3D8D" w:rsidRPr="00EC3D8D" w:rsidRDefault="00EC3D8D" w:rsidP="00EC3D8D">
      <w:pPr>
        <w:rPr>
          <w:rFonts w:cs="Arial"/>
          <w:b/>
          <w:sz w:val="24"/>
          <w:szCs w:val="24"/>
        </w:rPr>
      </w:pPr>
      <w:r w:rsidRPr="00EC3D8D">
        <w:rPr>
          <w:rFonts w:cs="Arial"/>
          <w:b/>
          <w:sz w:val="24"/>
          <w:szCs w:val="24"/>
        </w:rPr>
        <w:t xml:space="preserve"> </w:t>
      </w:r>
    </w:p>
    <w:p w:rsidR="004B6288" w:rsidRPr="00EC3D8D" w:rsidRDefault="00EC3D8D" w:rsidP="00EC3D8D">
      <w:pPr>
        <w:jc w:val="both"/>
        <w:rPr>
          <w:rFonts w:cs="Arial"/>
          <w:b/>
          <w:sz w:val="24"/>
          <w:szCs w:val="24"/>
        </w:rPr>
      </w:pPr>
      <w:r w:rsidRPr="00EC3D8D">
        <w:rPr>
          <w:rFonts w:cs="Arial"/>
          <w:sz w:val="24"/>
          <w:szCs w:val="24"/>
        </w:rPr>
        <w:t>In light of the recent media statement by his department that there are some remand detainees within correctional centres who have been in remand detention for more than two years thus contributing to overcrowding, what (a) is the total number of remand detainees who have been in detention for more than two years, (b) are the reasons for the prolonged period of detention and (c) are the further relevant details of the strategies developed during the two consultative sessions that were held in November 2021 for all six regions of his department during which heads of correctional centres deliberated on measu</w:t>
      </w:r>
      <w:r>
        <w:rPr>
          <w:rFonts w:cs="Arial"/>
          <w:sz w:val="24"/>
          <w:szCs w:val="24"/>
        </w:rPr>
        <w:t>res to reduce overcrowding?</w:t>
      </w:r>
      <w:r>
        <w:rPr>
          <w:rFonts w:cs="Arial"/>
          <w:sz w:val="24"/>
          <w:szCs w:val="24"/>
        </w:rPr>
        <w:tab/>
      </w:r>
      <w:r>
        <w:rPr>
          <w:rFonts w:cs="Arial"/>
          <w:sz w:val="24"/>
          <w:szCs w:val="24"/>
        </w:rPr>
        <w:tab/>
      </w:r>
      <w:r>
        <w:rPr>
          <w:rFonts w:cs="Arial"/>
          <w:sz w:val="24"/>
          <w:szCs w:val="24"/>
        </w:rPr>
        <w:tab/>
      </w:r>
      <w:r w:rsidR="00130661">
        <w:rPr>
          <w:rFonts w:cs="Arial"/>
          <w:sz w:val="24"/>
          <w:szCs w:val="24"/>
        </w:rPr>
        <w:tab/>
      </w:r>
      <w:r w:rsidR="00130661">
        <w:rPr>
          <w:rFonts w:cs="Arial"/>
          <w:sz w:val="24"/>
          <w:szCs w:val="24"/>
        </w:rPr>
        <w:tab/>
      </w:r>
      <w:r w:rsidR="00130661">
        <w:rPr>
          <w:rFonts w:cs="Arial"/>
          <w:sz w:val="24"/>
          <w:szCs w:val="24"/>
        </w:rPr>
        <w:tab/>
      </w:r>
      <w:r w:rsidR="00130661">
        <w:rPr>
          <w:rFonts w:cs="Arial"/>
          <w:sz w:val="24"/>
          <w:szCs w:val="24"/>
        </w:rPr>
        <w:tab/>
      </w:r>
      <w:r w:rsidR="00130661">
        <w:rPr>
          <w:rFonts w:cs="Arial"/>
          <w:sz w:val="24"/>
          <w:szCs w:val="24"/>
        </w:rPr>
        <w:tab/>
      </w:r>
      <w:r w:rsidR="00130661">
        <w:rPr>
          <w:rFonts w:cs="Arial"/>
          <w:sz w:val="24"/>
          <w:szCs w:val="24"/>
        </w:rPr>
        <w:tab/>
      </w:r>
      <w:r w:rsidR="00130661">
        <w:rPr>
          <w:rFonts w:cs="Arial"/>
          <w:sz w:val="24"/>
          <w:szCs w:val="24"/>
        </w:rPr>
        <w:tab/>
      </w:r>
      <w:r w:rsidR="00130661">
        <w:rPr>
          <w:rFonts w:cs="Arial"/>
          <w:sz w:val="24"/>
          <w:szCs w:val="24"/>
        </w:rPr>
        <w:tab/>
      </w:r>
      <w:r>
        <w:rPr>
          <w:rFonts w:cs="Arial"/>
          <w:sz w:val="24"/>
          <w:szCs w:val="24"/>
        </w:rPr>
        <w:tab/>
      </w:r>
      <w:r w:rsidRPr="00EC3D8D">
        <w:rPr>
          <w:rFonts w:cs="Arial"/>
          <w:b/>
          <w:sz w:val="24"/>
          <w:szCs w:val="24"/>
        </w:rPr>
        <w:t>NW1513E</w:t>
      </w:r>
    </w:p>
    <w:p w:rsidR="00EC3D8D" w:rsidRPr="00EC3D8D" w:rsidRDefault="00EC3D8D" w:rsidP="0031710C">
      <w:pPr>
        <w:rPr>
          <w:rFonts w:cs="Arial"/>
          <w:b/>
          <w:sz w:val="24"/>
          <w:szCs w:val="24"/>
        </w:rPr>
      </w:pPr>
    </w:p>
    <w:p w:rsidR="0031710C" w:rsidRPr="00ED491A" w:rsidRDefault="0031710C" w:rsidP="0031710C">
      <w:pPr>
        <w:rPr>
          <w:rFonts w:cs="Arial"/>
          <w:b/>
          <w:sz w:val="24"/>
          <w:szCs w:val="24"/>
        </w:rPr>
      </w:pPr>
      <w:r w:rsidRPr="00ED491A">
        <w:rPr>
          <w:rFonts w:cs="Arial"/>
          <w:b/>
          <w:sz w:val="24"/>
          <w:szCs w:val="24"/>
        </w:rPr>
        <w:t>REPLY</w:t>
      </w:r>
    </w:p>
    <w:p w:rsidR="0089252B" w:rsidRPr="00ED491A" w:rsidRDefault="0089252B" w:rsidP="0089252B">
      <w:pPr>
        <w:rPr>
          <w:rFonts w:cs="Arial"/>
          <w:b/>
          <w:sz w:val="24"/>
          <w:szCs w:val="24"/>
        </w:rPr>
      </w:pPr>
    </w:p>
    <w:p w:rsidR="0089252B" w:rsidRDefault="0089252B" w:rsidP="0089252B">
      <w:pPr>
        <w:rPr>
          <w:rFonts w:cs="Arial"/>
          <w:b/>
          <w:sz w:val="24"/>
          <w:szCs w:val="24"/>
        </w:rPr>
      </w:pPr>
    </w:p>
    <w:p w:rsidR="0089252B" w:rsidRPr="00F60748" w:rsidRDefault="0089252B" w:rsidP="0089252B">
      <w:pPr>
        <w:keepNext/>
        <w:keepLines/>
        <w:numPr>
          <w:ilvl w:val="0"/>
          <w:numId w:val="1"/>
        </w:numPr>
        <w:spacing w:after="120" w:line="312" w:lineRule="auto"/>
        <w:ind w:left="567" w:hanging="567"/>
        <w:jc w:val="both"/>
        <w:outlineLvl w:val="1"/>
        <w:rPr>
          <w:rFonts w:eastAsia="Calibri" w:cs="Arial"/>
          <w:color w:val="000000"/>
          <w:sz w:val="24"/>
          <w:szCs w:val="24"/>
          <w:lang w:val="en-US"/>
        </w:rPr>
      </w:pPr>
      <w:r>
        <w:rPr>
          <w:rFonts w:eastAsia="Calibri" w:cs="Arial"/>
          <w:color w:val="000000"/>
          <w:sz w:val="24"/>
          <w:szCs w:val="24"/>
          <w:lang w:val="en-US"/>
        </w:rPr>
        <w:t>T</w:t>
      </w:r>
      <w:r w:rsidRPr="00D72595">
        <w:rPr>
          <w:rFonts w:eastAsia="Calibri" w:cs="Arial"/>
          <w:color w:val="000000"/>
          <w:sz w:val="24"/>
          <w:szCs w:val="24"/>
          <w:lang w:val="en-US"/>
        </w:rPr>
        <w:t xml:space="preserve">otal number of remand </w:t>
      </w:r>
      <w:r w:rsidR="0044795F">
        <w:rPr>
          <w:rFonts w:eastAsia="Calibri" w:cs="Arial"/>
          <w:color w:val="000000"/>
          <w:sz w:val="24"/>
          <w:szCs w:val="24"/>
          <w:lang w:val="en-US"/>
        </w:rPr>
        <w:t>detainees</w:t>
      </w:r>
      <w:r>
        <w:rPr>
          <w:rFonts w:eastAsia="Calibri" w:cs="Arial"/>
          <w:color w:val="000000"/>
          <w:sz w:val="24"/>
          <w:szCs w:val="24"/>
          <w:lang w:val="en-US"/>
        </w:rPr>
        <w:t xml:space="preserve"> who have </w:t>
      </w:r>
      <w:r w:rsidRPr="00EC3D8D">
        <w:rPr>
          <w:rFonts w:cs="Arial"/>
          <w:sz w:val="24"/>
          <w:szCs w:val="24"/>
        </w:rPr>
        <w:t>who have been in detention for more than two years</w:t>
      </w:r>
      <w:r w:rsidRPr="00A56C83">
        <w:rPr>
          <w:rFonts w:eastAsia="Calibri" w:cs="Arial"/>
          <w:color w:val="000000"/>
          <w:sz w:val="24"/>
          <w:szCs w:val="24"/>
          <w:lang w:val="en-US"/>
        </w:rPr>
        <w:t xml:space="preserve"> </w:t>
      </w:r>
      <w:r>
        <w:rPr>
          <w:rFonts w:eastAsia="Calibri" w:cs="Arial"/>
          <w:color w:val="000000"/>
          <w:sz w:val="24"/>
          <w:szCs w:val="24"/>
          <w:lang w:val="en-US"/>
        </w:rPr>
        <w:t>as at 31</w:t>
      </w:r>
      <w:r w:rsidRPr="0089252B">
        <w:rPr>
          <w:rFonts w:eastAsia="Calibri" w:cs="Arial"/>
          <w:color w:val="000000"/>
          <w:sz w:val="24"/>
          <w:szCs w:val="24"/>
          <w:vertAlign w:val="superscript"/>
          <w:lang w:val="en-US"/>
        </w:rPr>
        <w:t>st</w:t>
      </w:r>
      <w:r>
        <w:rPr>
          <w:rFonts w:eastAsia="Calibri" w:cs="Arial"/>
          <w:color w:val="000000"/>
          <w:sz w:val="24"/>
          <w:szCs w:val="24"/>
          <w:lang w:val="en-US"/>
        </w:rPr>
        <w:t xml:space="preserve"> March</w:t>
      </w:r>
      <w:r w:rsidR="002F08A3">
        <w:rPr>
          <w:rFonts w:eastAsia="Calibri" w:cs="Arial"/>
          <w:color w:val="000000"/>
          <w:sz w:val="24"/>
          <w:szCs w:val="24"/>
          <w:lang w:val="en-US"/>
        </w:rPr>
        <w:t xml:space="preserve"> 2022</w:t>
      </w:r>
      <w:r>
        <w:rPr>
          <w:rFonts w:eastAsia="Calibri" w:cs="Arial"/>
          <w:color w:val="000000"/>
          <w:sz w:val="24"/>
          <w:szCs w:val="24"/>
          <w:lang w:val="en-US"/>
        </w:rPr>
        <w:t xml:space="preserve"> </w:t>
      </w:r>
      <w:r w:rsidRPr="00A56C83">
        <w:rPr>
          <w:rFonts w:eastAsia="Calibri" w:cs="Arial"/>
          <w:color w:val="000000"/>
          <w:sz w:val="24"/>
          <w:szCs w:val="24"/>
          <w:lang w:val="en-US"/>
        </w:rPr>
        <w:t>was</w:t>
      </w:r>
      <w:r w:rsidR="00782EAD">
        <w:rPr>
          <w:rFonts w:eastAsia="Calibri" w:cs="Arial"/>
          <w:color w:val="000000"/>
          <w:sz w:val="24"/>
          <w:szCs w:val="24"/>
          <w:lang w:val="en-US"/>
        </w:rPr>
        <w:t xml:space="preserve"> </w:t>
      </w:r>
      <w:r w:rsidR="00AA5523" w:rsidRPr="00701F80">
        <w:rPr>
          <w:rFonts w:eastAsia="Calibri" w:cs="Arial"/>
          <w:b/>
          <w:color w:val="000000"/>
          <w:sz w:val="24"/>
          <w:szCs w:val="24"/>
          <w:lang w:val="en-US"/>
        </w:rPr>
        <w:t>3</w:t>
      </w:r>
      <w:r w:rsidR="00701F80" w:rsidRPr="00701F80">
        <w:rPr>
          <w:rFonts w:eastAsia="Calibri" w:cs="Arial"/>
          <w:b/>
          <w:color w:val="000000"/>
          <w:sz w:val="24"/>
          <w:szCs w:val="24"/>
          <w:lang w:val="en-US"/>
        </w:rPr>
        <w:t> 698</w:t>
      </w:r>
      <w:r w:rsidR="00701F80">
        <w:rPr>
          <w:rFonts w:eastAsia="Calibri" w:cs="Arial"/>
          <w:color w:val="000000"/>
          <w:sz w:val="24"/>
          <w:szCs w:val="24"/>
          <w:lang w:val="en-US"/>
        </w:rPr>
        <w:t xml:space="preserve">. </w:t>
      </w:r>
      <w:r w:rsidR="007F46E1" w:rsidRPr="007F2BB5">
        <w:rPr>
          <w:rFonts w:eastAsia="Calibri" w:cs="Arial"/>
          <w:color w:val="0000FF"/>
          <w:sz w:val="24"/>
          <w:szCs w:val="24"/>
          <w:lang w:val="en-US"/>
        </w:rPr>
        <w:t xml:space="preserve"> </w:t>
      </w:r>
    </w:p>
    <w:p w:rsidR="00F60748" w:rsidRPr="00B841CB" w:rsidRDefault="00F60748" w:rsidP="0044795F">
      <w:pPr>
        <w:keepNext/>
        <w:keepLines/>
        <w:ind w:firstLine="567"/>
        <w:jc w:val="both"/>
        <w:outlineLvl w:val="1"/>
        <w:rPr>
          <w:rFonts w:eastAsia="Calibri" w:cs="Arial"/>
          <w:color w:val="000000"/>
          <w:sz w:val="24"/>
          <w:szCs w:val="24"/>
          <w:lang w:val="en-US"/>
        </w:rPr>
      </w:pPr>
      <w:r w:rsidRPr="00B841CB">
        <w:rPr>
          <w:rFonts w:eastAsia="Calibri" w:cs="Arial"/>
          <w:color w:val="000000"/>
          <w:sz w:val="24"/>
          <w:szCs w:val="24"/>
          <w:lang w:val="en-US"/>
        </w:rPr>
        <w:t>Regional breakdown is as follows:-</w:t>
      </w:r>
    </w:p>
    <w:tbl>
      <w:tblPr>
        <w:tblW w:w="3679" w:type="pct"/>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0"/>
        <w:gridCol w:w="1451"/>
      </w:tblGrid>
      <w:tr w:rsidR="00F60748" w:rsidRPr="00AC0916" w:rsidTr="0044795F">
        <w:trPr>
          <w:trHeight w:val="290"/>
        </w:trPr>
        <w:tc>
          <w:tcPr>
            <w:tcW w:w="3933" w:type="pct"/>
            <w:shd w:val="clear" w:color="auto" w:fill="DDD9C3"/>
            <w:noWrap/>
            <w:vAlign w:val="bottom"/>
            <w:hideMark/>
          </w:tcPr>
          <w:p w:rsidR="00F60748" w:rsidRPr="00AC0916" w:rsidRDefault="00F60748" w:rsidP="00B841CB">
            <w:pPr>
              <w:rPr>
                <w:rFonts w:cs="Arial"/>
                <w:b/>
                <w:bCs/>
                <w:color w:val="000000"/>
                <w:lang w:eastAsia="en-ZA"/>
              </w:rPr>
            </w:pPr>
            <w:r w:rsidRPr="00AC0916">
              <w:rPr>
                <w:rFonts w:cs="Arial"/>
                <w:b/>
                <w:bCs/>
                <w:color w:val="000000"/>
                <w:lang w:eastAsia="en-ZA"/>
              </w:rPr>
              <w:t>Region</w:t>
            </w:r>
          </w:p>
        </w:tc>
        <w:tc>
          <w:tcPr>
            <w:tcW w:w="1067" w:type="pct"/>
            <w:shd w:val="clear" w:color="auto" w:fill="DDD9C3"/>
            <w:noWrap/>
            <w:vAlign w:val="bottom"/>
            <w:hideMark/>
          </w:tcPr>
          <w:p w:rsidR="00F60748" w:rsidRPr="00AC0916" w:rsidRDefault="00F60748" w:rsidP="00B841CB">
            <w:pPr>
              <w:rPr>
                <w:rFonts w:cs="Arial"/>
                <w:b/>
                <w:bCs/>
                <w:color w:val="000000"/>
                <w:lang w:eastAsia="en-ZA"/>
              </w:rPr>
            </w:pPr>
            <w:r w:rsidRPr="00AC0916">
              <w:rPr>
                <w:rFonts w:cs="Arial"/>
                <w:b/>
                <w:bCs/>
                <w:color w:val="000000"/>
                <w:lang w:eastAsia="en-ZA"/>
              </w:rPr>
              <w:t>Grand Total</w:t>
            </w:r>
          </w:p>
        </w:tc>
      </w:tr>
      <w:tr w:rsidR="00F60748" w:rsidRPr="00AC0916" w:rsidTr="0044795F">
        <w:trPr>
          <w:trHeight w:val="290"/>
        </w:trPr>
        <w:tc>
          <w:tcPr>
            <w:tcW w:w="3933" w:type="pct"/>
            <w:shd w:val="clear" w:color="auto" w:fill="auto"/>
            <w:noWrap/>
            <w:vAlign w:val="bottom"/>
            <w:hideMark/>
          </w:tcPr>
          <w:p w:rsidR="00F60748" w:rsidRPr="00AC0916" w:rsidRDefault="00F60748" w:rsidP="00B841CB">
            <w:pPr>
              <w:rPr>
                <w:rFonts w:cs="Arial"/>
                <w:color w:val="000000"/>
                <w:lang w:eastAsia="en-ZA"/>
              </w:rPr>
            </w:pPr>
            <w:r w:rsidRPr="00AC0916">
              <w:rPr>
                <w:rFonts w:cs="Arial"/>
                <w:color w:val="000000"/>
                <w:lang w:eastAsia="en-ZA"/>
              </w:rPr>
              <w:t xml:space="preserve">Gauteng </w:t>
            </w:r>
          </w:p>
        </w:tc>
        <w:tc>
          <w:tcPr>
            <w:tcW w:w="1067" w:type="pct"/>
            <w:shd w:val="clear" w:color="auto" w:fill="auto"/>
            <w:noWrap/>
            <w:vAlign w:val="bottom"/>
            <w:hideMark/>
          </w:tcPr>
          <w:p w:rsidR="00F60748" w:rsidRPr="00AC0916" w:rsidRDefault="00F60748" w:rsidP="00B841CB">
            <w:pPr>
              <w:jc w:val="center"/>
              <w:rPr>
                <w:rFonts w:cs="Arial"/>
                <w:color w:val="000000"/>
                <w:lang w:eastAsia="en-ZA"/>
              </w:rPr>
            </w:pPr>
            <w:r w:rsidRPr="00AC0916">
              <w:rPr>
                <w:rFonts w:cs="Arial"/>
                <w:color w:val="000000"/>
                <w:lang w:eastAsia="en-ZA"/>
              </w:rPr>
              <w:t>1718</w:t>
            </w:r>
          </w:p>
        </w:tc>
      </w:tr>
      <w:tr w:rsidR="00F60748" w:rsidRPr="00AC0916" w:rsidTr="0044795F">
        <w:trPr>
          <w:trHeight w:val="290"/>
        </w:trPr>
        <w:tc>
          <w:tcPr>
            <w:tcW w:w="3933" w:type="pct"/>
            <w:shd w:val="clear" w:color="auto" w:fill="auto"/>
            <w:noWrap/>
            <w:vAlign w:val="bottom"/>
            <w:hideMark/>
          </w:tcPr>
          <w:p w:rsidR="00F60748" w:rsidRPr="00AC0916" w:rsidRDefault="00F60748" w:rsidP="00B841CB">
            <w:pPr>
              <w:rPr>
                <w:rFonts w:cs="Arial"/>
                <w:color w:val="000000"/>
                <w:lang w:eastAsia="en-ZA"/>
              </w:rPr>
            </w:pPr>
            <w:r w:rsidRPr="00AC0916">
              <w:rPr>
                <w:rFonts w:cs="Arial"/>
                <w:color w:val="000000"/>
                <w:lang w:eastAsia="en-ZA"/>
              </w:rPr>
              <w:t xml:space="preserve">Western Cape </w:t>
            </w:r>
          </w:p>
        </w:tc>
        <w:tc>
          <w:tcPr>
            <w:tcW w:w="1067" w:type="pct"/>
            <w:shd w:val="clear" w:color="auto" w:fill="auto"/>
            <w:noWrap/>
            <w:vAlign w:val="bottom"/>
            <w:hideMark/>
          </w:tcPr>
          <w:p w:rsidR="00F60748" w:rsidRPr="00AC0916" w:rsidRDefault="00F60748" w:rsidP="00B841CB">
            <w:pPr>
              <w:jc w:val="center"/>
              <w:rPr>
                <w:rFonts w:cs="Arial"/>
                <w:color w:val="000000"/>
                <w:lang w:eastAsia="en-ZA"/>
              </w:rPr>
            </w:pPr>
            <w:r w:rsidRPr="00AC0916">
              <w:rPr>
                <w:rFonts w:cs="Arial"/>
                <w:color w:val="000000"/>
                <w:lang w:eastAsia="en-ZA"/>
              </w:rPr>
              <w:t>708</w:t>
            </w:r>
          </w:p>
        </w:tc>
      </w:tr>
      <w:tr w:rsidR="00F60748" w:rsidRPr="00AC0916" w:rsidTr="0044795F">
        <w:trPr>
          <w:trHeight w:val="290"/>
        </w:trPr>
        <w:tc>
          <w:tcPr>
            <w:tcW w:w="3933" w:type="pct"/>
            <w:shd w:val="clear" w:color="auto" w:fill="auto"/>
            <w:noWrap/>
            <w:vAlign w:val="bottom"/>
            <w:hideMark/>
          </w:tcPr>
          <w:p w:rsidR="00F60748" w:rsidRPr="00AC0916" w:rsidRDefault="00F60748" w:rsidP="00B841CB">
            <w:pPr>
              <w:rPr>
                <w:rFonts w:cs="Arial"/>
                <w:color w:val="000000"/>
                <w:lang w:eastAsia="en-ZA"/>
              </w:rPr>
            </w:pPr>
            <w:r w:rsidRPr="00AC0916">
              <w:rPr>
                <w:rFonts w:cs="Arial"/>
                <w:color w:val="000000"/>
                <w:lang w:eastAsia="en-ZA"/>
              </w:rPr>
              <w:t>Limpopo, Mpumalanga &amp; North-West</w:t>
            </w:r>
            <w:r>
              <w:rPr>
                <w:rFonts w:cs="Arial"/>
                <w:color w:val="000000"/>
                <w:lang w:eastAsia="en-ZA"/>
              </w:rPr>
              <w:t xml:space="preserve"> </w:t>
            </w:r>
          </w:p>
        </w:tc>
        <w:tc>
          <w:tcPr>
            <w:tcW w:w="1067" w:type="pct"/>
            <w:shd w:val="clear" w:color="auto" w:fill="auto"/>
            <w:noWrap/>
            <w:vAlign w:val="bottom"/>
            <w:hideMark/>
          </w:tcPr>
          <w:p w:rsidR="00F60748" w:rsidRPr="00AC0916" w:rsidRDefault="00F60748" w:rsidP="00B841CB">
            <w:pPr>
              <w:jc w:val="center"/>
              <w:rPr>
                <w:rFonts w:cs="Arial"/>
                <w:color w:val="000000"/>
                <w:lang w:eastAsia="en-ZA"/>
              </w:rPr>
            </w:pPr>
            <w:r w:rsidRPr="00AC0916">
              <w:rPr>
                <w:rFonts w:cs="Arial"/>
                <w:color w:val="000000"/>
                <w:lang w:eastAsia="en-ZA"/>
              </w:rPr>
              <w:t>390</w:t>
            </w:r>
          </w:p>
        </w:tc>
      </w:tr>
      <w:tr w:rsidR="00F60748" w:rsidRPr="00AC0916" w:rsidTr="0044795F">
        <w:trPr>
          <w:trHeight w:val="290"/>
        </w:trPr>
        <w:tc>
          <w:tcPr>
            <w:tcW w:w="3933" w:type="pct"/>
            <w:shd w:val="clear" w:color="auto" w:fill="auto"/>
            <w:noWrap/>
            <w:vAlign w:val="bottom"/>
            <w:hideMark/>
          </w:tcPr>
          <w:p w:rsidR="00F60748" w:rsidRPr="00AC0916" w:rsidRDefault="00F60748" w:rsidP="00B841CB">
            <w:pPr>
              <w:rPr>
                <w:rFonts w:cs="Arial"/>
                <w:color w:val="000000"/>
                <w:lang w:eastAsia="en-ZA"/>
              </w:rPr>
            </w:pPr>
            <w:r w:rsidRPr="00AC0916">
              <w:rPr>
                <w:rFonts w:cs="Arial"/>
                <w:color w:val="000000"/>
                <w:lang w:eastAsia="en-ZA"/>
              </w:rPr>
              <w:t xml:space="preserve">Kwa-Zulu Natal </w:t>
            </w:r>
          </w:p>
        </w:tc>
        <w:tc>
          <w:tcPr>
            <w:tcW w:w="1067" w:type="pct"/>
            <w:shd w:val="clear" w:color="auto" w:fill="auto"/>
            <w:noWrap/>
            <w:vAlign w:val="bottom"/>
            <w:hideMark/>
          </w:tcPr>
          <w:p w:rsidR="00F60748" w:rsidRPr="00AC0916" w:rsidRDefault="00F60748" w:rsidP="00B841CB">
            <w:pPr>
              <w:jc w:val="center"/>
              <w:rPr>
                <w:rFonts w:cs="Arial"/>
                <w:color w:val="000000"/>
                <w:lang w:eastAsia="en-ZA"/>
              </w:rPr>
            </w:pPr>
            <w:r w:rsidRPr="00AC0916">
              <w:rPr>
                <w:rFonts w:cs="Arial"/>
                <w:color w:val="000000"/>
                <w:lang w:eastAsia="en-ZA"/>
              </w:rPr>
              <w:t>387</w:t>
            </w:r>
          </w:p>
        </w:tc>
      </w:tr>
      <w:tr w:rsidR="00F60748" w:rsidRPr="00AC0916" w:rsidTr="0044795F">
        <w:trPr>
          <w:trHeight w:val="290"/>
        </w:trPr>
        <w:tc>
          <w:tcPr>
            <w:tcW w:w="3933" w:type="pct"/>
            <w:shd w:val="clear" w:color="auto" w:fill="auto"/>
            <w:noWrap/>
            <w:vAlign w:val="bottom"/>
            <w:hideMark/>
          </w:tcPr>
          <w:p w:rsidR="00F60748" w:rsidRPr="00AC0916" w:rsidRDefault="00F60748" w:rsidP="00B841CB">
            <w:pPr>
              <w:rPr>
                <w:rFonts w:cs="Arial"/>
                <w:color w:val="000000"/>
                <w:lang w:eastAsia="en-ZA"/>
              </w:rPr>
            </w:pPr>
            <w:r w:rsidRPr="00AC0916">
              <w:rPr>
                <w:rFonts w:cs="Arial"/>
                <w:color w:val="000000"/>
                <w:lang w:eastAsia="en-ZA"/>
              </w:rPr>
              <w:t xml:space="preserve">Eastern Cape </w:t>
            </w:r>
          </w:p>
        </w:tc>
        <w:tc>
          <w:tcPr>
            <w:tcW w:w="1067" w:type="pct"/>
            <w:shd w:val="clear" w:color="auto" w:fill="auto"/>
            <w:noWrap/>
            <w:vAlign w:val="bottom"/>
            <w:hideMark/>
          </w:tcPr>
          <w:p w:rsidR="00F60748" w:rsidRPr="00AC0916" w:rsidRDefault="00F60748" w:rsidP="00B841CB">
            <w:pPr>
              <w:jc w:val="center"/>
              <w:rPr>
                <w:rFonts w:cs="Arial"/>
                <w:color w:val="000000"/>
                <w:lang w:eastAsia="en-ZA"/>
              </w:rPr>
            </w:pPr>
            <w:r w:rsidRPr="00AC0916">
              <w:rPr>
                <w:rFonts w:cs="Arial"/>
                <w:color w:val="000000"/>
                <w:lang w:eastAsia="en-ZA"/>
              </w:rPr>
              <w:t>291</w:t>
            </w:r>
          </w:p>
        </w:tc>
      </w:tr>
      <w:tr w:rsidR="00F60748" w:rsidRPr="00AC0916" w:rsidTr="0044795F">
        <w:trPr>
          <w:trHeight w:val="290"/>
        </w:trPr>
        <w:tc>
          <w:tcPr>
            <w:tcW w:w="3933" w:type="pct"/>
            <w:shd w:val="clear" w:color="auto" w:fill="auto"/>
            <w:noWrap/>
            <w:vAlign w:val="bottom"/>
            <w:hideMark/>
          </w:tcPr>
          <w:p w:rsidR="00F60748" w:rsidRPr="00AC0916" w:rsidRDefault="00F60748" w:rsidP="00B841CB">
            <w:pPr>
              <w:rPr>
                <w:rFonts w:cs="Arial"/>
                <w:color w:val="000000"/>
                <w:lang w:eastAsia="en-ZA"/>
              </w:rPr>
            </w:pPr>
            <w:r w:rsidRPr="00AC0916">
              <w:rPr>
                <w:rFonts w:cs="Arial"/>
                <w:color w:val="000000"/>
                <w:lang w:eastAsia="en-ZA"/>
              </w:rPr>
              <w:t xml:space="preserve">Free State &amp; Northern Cape </w:t>
            </w:r>
          </w:p>
        </w:tc>
        <w:tc>
          <w:tcPr>
            <w:tcW w:w="1067" w:type="pct"/>
            <w:shd w:val="clear" w:color="auto" w:fill="auto"/>
            <w:noWrap/>
            <w:vAlign w:val="bottom"/>
            <w:hideMark/>
          </w:tcPr>
          <w:p w:rsidR="00F60748" w:rsidRPr="00AC0916" w:rsidRDefault="00F60748" w:rsidP="00B841CB">
            <w:pPr>
              <w:jc w:val="center"/>
              <w:rPr>
                <w:rFonts w:cs="Arial"/>
                <w:color w:val="000000"/>
                <w:lang w:eastAsia="en-ZA"/>
              </w:rPr>
            </w:pPr>
            <w:r w:rsidRPr="00AC0916">
              <w:rPr>
                <w:rFonts w:cs="Arial"/>
                <w:color w:val="000000"/>
                <w:lang w:eastAsia="en-ZA"/>
              </w:rPr>
              <w:t>204</w:t>
            </w:r>
          </w:p>
        </w:tc>
      </w:tr>
      <w:tr w:rsidR="00F60748" w:rsidRPr="00AC0916" w:rsidTr="0044795F">
        <w:trPr>
          <w:trHeight w:val="290"/>
        </w:trPr>
        <w:tc>
          <w:tcPr>
            <w:tcW w:w="3933" w:type="pct"/>
            <w:shd w:val="clear" w:color="auto" w:fill="DDD9C3"/>
            <w:noWrap/>
            <w:vAlign w:val="bottom"/>
            <w:hideMark/>
          </w:tcPr>
          <w:p w:rsidR="00F60748" w:rsidRPr="00AC0916" w:rsidRDefault="00F60748" w:rsidP="00B841CB">
            <w:pPr>
              <w:rPr>
                <w:rFonts w:cs="Arial"/>
                <w:b/>
                <w:bCs/>
                <w:color w:val="000000"/>
                <w:lang w:eastAsia="en-ZA"/>
              </w:rPr>
            </w:pPr>
            <w:r w:rsidRPr="00AC0916">
              <w:rPr>
                <w:rFonts w:cs="Arial"/>
                <w:b/>
                <w:bCs/>
                <w:color w:val="000000"/>
                <w:lang w:eastAsia="en-ZA"/>
              </w:rPr>
              <w:t>Grand Total</w:t>
            </w:r>
          </w:p>
        </w:tc>
        <w:tc>
          <w:tcPr>
            <w:tcW w:w="1067" w:type="pct"/>
            <w:shd w:val="clear" w:color="auto" w:fill="DDD9C3"/>
            <w:noWrap/>
            <w:vAlign w:val="bottom"/>
            <w:hideMark/>
          </w:tcPr>
          <w:p w:rsidR="00F60748" w:rsidRPr="00AC0916" w:rsidRDefault="00F60748" w:rsidP="00B841CB">
            <w:pPr>
              <w:jc w:val="center"/>
              <w:rPr>
                <w:rFonts w:cs="Arial"/>
                <w:b/>
                <w:bCs/>
                <w:color w:val="000000"/>
                <w:lang w:eastAsia="en-ZA"/>
              </w:rPr>
            </w:pPr>
            <w:r w:rsidRPr="00AC0916">
              <w:rPr>
                <w:rFonts w:cs="Arial"/>
                <w:b/>
                <w:bCs/>
                <w:color w:val="000000"/>
                <w:lang w:eastAsia="en-ZA"/>
              </w:rPr>
              <w:t>3698</w:t>
            </w:r>
          </w:p>
        </w:tc>
      </w:tr>
      <w:tr w:rsidR="00F60748" w:rsidRPr="00AC0916" w:rsidTr="0044795F">
        <w:trPr>
          <w:trHeight w:val="290"/>
        </w:trPr>
        <w:tc>
          <w:tcPr>
            <w:tcW w:w="3933" w:type="pct"/>
            <w:shd w:val="clear" w:color="auto" w:fill="DDD9C3"/>
            <w:noWrap/>
            <w:vAlign w:val="bottom"/>
          </w:tcPr>
          <w:p w:rsidR="00F60748" w:rsidRPr="00AC0916" w:rsidRDefault="00F60748" w:rsidP="00B841CB">
            <w:pPr>
              <w:rPr>
                <w:rFonts w:cs="Arial"/>
                <w:b/>
                <w:bCs/>
                <w:color w:val="000000"/>
                <w:lang w:eastAsia="en-ZA"/>
              </w:rPr>
            </w:pPr>
            <w:r>
              <w:rPr>
                <w:rFonts w:cs="Arial"/>
                <w:b/>
                <w:bCs/>
                <w:color w:val="000000"/>
                <w:lang w:eastAsia="en-ZA"/>
              </w:rPr>
              <w:t>Source: GITO</w:t>
            </w:r>
          </w:p>
        </w:tc>
        <w:tc>
          <w:tcPr>
            <w:tcW w:w="1067" w:type="pct"/>
            <w:shd w:val="clear" w:color="auto" w:fill="DDD9C3"/>
            <w:noWrap/>
            <w:vAlign w:val="bottom"/>
          </w:tcPr>
          <w:p w:rsidR="00F60748" w:rsidRPr="00AC0916" w:rsidRDefault="00F60748" w:rsidP="00B841CB">
            <w:pPr>
              <w:jc w:val="center"/>
              <w:rPr>
                <w:rFonts w:cs="Arial"/>
                <w:b/>
                <w:bCs/>
                <w:color w:val="000000"/>
                <w:lang w:eastAsia="en-ZA"/>
              </w:rPr>
            </w:pPr>
          </w:p>
        </w:tc>
      </w:tr>
    </w:tbl>
    <w:p w:rsidR="0031710C" w:rsidRDefault="0031710C" w:rsidP="00F60748">
      <w:pPr>
        <w:rPr>
          <w:rFonts w:cs="Arial"/>
          <w:b/>
          <w:sz w:val="24"/>
          <w:szCs w:val="24"/>
        </w:rPr>
      </w:pPr>
    </w:p>
    <w:p w:rsidR="0031710C" w:rsidRPr="00586F66" w:rsidRDefault="00235CF6" w:rsidP="00235CF6">
      <w:pPr>
        <w:keepNext/>
        <w:keepLines/>
        <w:numPr>
          <w:ilvl w:val="0"/>
          <w:numId w:val="1"/>
        </w:numPr>
        <w:spacing w:after="120" w:line="312" w:lineRule="auto"/>
        <w:ind w:left="567" w:hanging="567"/>
        <w:jc w:val="both"/>
        <w:outlineLvl w:val="1"/>
        <w:rPr>
          <w:rFonts w:cs="Arial"/>
          <w:b/>
          <w:sz w:val="24"/>
          <w:szCs w:val="24"/>
        </w:rPr>
      </w:pPr>
      <w:r>
        <w:rPr>
          <w:rFonts w:cs="Arial"/>
          <w:sz w:val="24"/>
          <w:szCs w:val="24"/>
        </w:rPr>
        <w:lastRenderedPageBreak/>
        <w:t>The</w:t>
      </w:r>
      <w:r w:rsidRPr="00EC3D8D">
        <w:rPr>
          <w:rFonts w:cs="Arial"/>
          <w:sz w:val="24"/>
          <w:szCs w:val="24"/>
        </w:rPr>
        <w:t xml:space="preserve"> reasons for the prolonged period of detention</w:t>
      </w:r>
      <w:r w:rsidR="00BD3B8B">
        <w:rPr>
          <w:rFonts w:cs="Arial"/>
          <w:sz w:val="24"/>
          <w:szCs w:val="24"/>
        </w:rPr>
        <w:t xml:space="preserve"> is </w:t>
      </w:r>
      <w:r w:rsidR="001B652C">
        <w:rPr>
          <w:rFonts w:cs="Arial"/>
          <w:sz w:val="24"/>
          <w:szCs w:val="24"/>
        </w:rPr>
        <w:t xml:space="preserve">the delayed </w:t>
      </w:r>
      <w:r w:rsidR="00782EAD" w:rsidRPr="00E9595F">
        <w:rPr>
          <w:rFonts w:eastAsia="Calibri" w:cs="Arial"/>
          <w:color w:val="000000"/>
          <w:sz w:val="24"/>
          <w:szCs w:val="24"/>
          <w:lang w:eastAsia="en-ZA"/>
        </w:rPr>
        <w:t>response from the courts on the outcome of the applications of Section 49 G</w:t>
      </w:r>
      <w:r w:rsidR="00885CE4">
        <w:rPr>
          <w:rFonts w:eastAsia="Calibri" w:cs="Arial"/>
          <w:color w:val="000000"/>
          <w:sz w:val="24"/>
          <w:szCs w:val="24"/>
          <w:lang w:eastAsia="en-ZA"/>
        </w:rPr>
        <w:t xml:space="preserve"> or </w:t>
      </w:r>
      <w:r w:rsidR="006660F9">
        <w:rPr>
          <w:rFonts w:eastAsia="Calibri" w:cs="Arial"/>
          <w:color w:val="000000"/>
          <w:sz w:val="24"/>
          <w:szCs w:val="24"/>
          <w:lang w:eastAsia="en-ZA"/>
        </w:rPr>
        <w:t>a</w:t>
      </w:r>
      <w:r w:rsidR="00885CE4">
        <w:rPr>
          <w:rFonts w:eastAsia="Calibri" w:cs="Arial"/>
          <w:color w:val="000000"/>
          <w:sz w:val="24"/>
          <w:szCs w:val="24"/>
          <w:lang w:eastAsia="en-ZA"/>
        </w:rPr>
        <w:t xml:space="preserve"> </w:t>
      </w:r>
      <w:r w:rsidR="00F724CB" w:rsidRPr="00885CE4">
        <w:rPr>
          <w:rFonts w:eastAsia="Calibri" w:cs="Arial"/>
          <w:b/>
          <w:i/>
          <w:color w:val="000000"/>
          <w:sz w:val="24"/>
          <w:szCs w:val="24"/>
          <w:lang w:eastAsia="en-ZA"/>
        </w:rPr>
        <w:t>continue with detention</w:t>
      </w:r>
      <w:r w:rsidR="00F724CB">
        <w:rPr>
          <w:rFonts w:eastAsia="Calibri" w:cs="Arial"/>
          <w:color w:val="000000"/>
          <w:sz w:val="24"/>
          <w:szCs w:val="24"/>
          <w:lang w:eastAsia="en-ZA"/>
        </w:rPr>
        <w:t xml:space="preserve"> </w:t>
      </w:r>
      <w:r w:rsidR="00885CE4">
        <w:rPr>
          <w:rFonts w:eastAsia="Calibri" w:cs="Arial"/>
          <w:color w:val="000000"/>
          <w:sz w:val="24"/>
          <w:szCs w:val="24"/>
          <w:lang w:eastAsia="en-ZA"/>
        </w:rPr>
        <w:t xml:space="preserve">response </w:t>
      </w:r>
      <w:r w:rsidR="00F724CB">
        <w:rPr>
          <w:rFonts w:eastAsia="Calibri" w:cs="Arial"/>
          <w:color w:val="000000"/>
          <w:sz w:val="24"/>
          <w:szCs w:val="24"/>
          <w:lang w:eastAsia="en-ZA"/>
        </w:rPr>
        <w:t xml:space="preserve">is received, </w:t>
      </w:r>
      <w:r w:rsidR="00885CE4">
        <w:rPr>
          <w:rFonts w:eastAsia="Calibri" w:cs="Arial"/>
          <w:color w:val="000000"/>
          <w:sz w:val="24"/>
          <w:szCs w:val="24"/>
          <w:lang w:eastAsia="en-ZA"/>
        </w:rPr>
        <w:t xml:space="preserve">however </w:t>
      </w:r>
      <w:r w:rsidR="00F7256F">
        <w:rPr>
          <w:rFonts w:eastAsia="Calibri" w:cs="Arial"/>
          <w:color w:val="000000"/>
          <w:sz w:val="24"/>
          <w:szCs w:val="24"/>
          <w:lang w:eastAsia="en-ZA"/>
        </w:rPr>
        <w:t>DCS</w:t>
      </w:r>
      <w:r w:rsidR="00885CE4">
        <w:rPr>
          <w:rFonts w:eastAsia="Calibri" w:cs="Arial"/>
          <w:color w:val="000000"/>
          <w:sz w:val="24"/>
          <w:szCs w:val="24"/>
          <w:lang w:eastAsia="en-ZA"/>
        </w:rPr>
        <w:t xml:space="preserve"> do</w:t>
      </w:r>
      <w:r w:rsidR="002F08A3">
        <w:rPr>
          <w:rFonts w:eastAsia="Calibri" w:cs="Arial"/>
          <w:color w:val="000000"/>
          <w:sz w:val="24"/>
          <w:szCs w:val="24"/>
          <w:lang w:eastAsia="en-ZA"/>
        </w:rPr>
        <w:t>es</w:t>
      </w:r>
      <w:r w:rsidR="00885CE4">
        <w:rPr>
          <w:rFonts w:eastAsia="Calibri" w:cs="Arial"/>
          <w:color w:val="000000"/>
          <w:sz w:val="24"/>
          <w:szCs w:val="24"/>
          <w:lang w:eastAsia="en-ZA"/>
        </w:rPr>
        <w:t xml:space="preserve"> continue to </w:t>
      </w:r>
      <w:r w:rsidR="00BD3B8B">
        <w:rPr>
          <w:rFonts w:cs="Arial"/>
          <w:sz w:val="24"/>
          <w:szCs w:val="24"/>
        </w:rPr>
        <w:t xml:space="preserve">make use of the provision of </w:t>
      </w:r>
      <w:r w:rsidR="00BD3B8B" w:rsidRPr="00A358BF">
        <w:rPr>
          <w:rFonts w:eastAsia="Calibri" w:cs="Arial"/>
          <w:i/>
          <w:color w:val="000000"/>
          <w:sz w:val="24"/>
          <w:szCs w:val="24"/>
          <w:lang w:eastAsia="en-ZA"/>
        </w:rPr>
        <w:t xml:space="preserve">Section 49G of the Correctional Services </w:t>
      </w:r>
      <w:r w:rsidR="00BD3B8B">
        <w:rPr>
          <w:rFonts w:eastAsia="Calibri" w:cs="Arial"/>
          <w:i/>
          <w:color w:val="000000"/>
          <w:sz w:val="24"/>
          <w:szCs w:val="24"/>
          <w:lang w:eastAsia="en-ZA"/>
        </w:rPr>
        <w:t>Act</w:t>
      </w:r>
      <w:r w:rsidR="00885CE4">
        <w:rPr>
          <w:rFonts w:eastAsia="Calibri" w:cs="Arial"/>
          <w:color w:val="000000"/>
          <w:sz w:val="24"/>
          <w:szCs w:val="24"/>
          <w:lang w:eastAsia="en-ZA"/>
        </w:rPr>
        <w:t xml:space="preserve"> by</w:t>
      </w:r>
      <w:r w:rsidR="00BD3B8B" w:rsidRPr="00A358BF">
        <w:rPr>
          <w:rFonts w:eastAsia="Calibri" w:cs="Arial"/>
          <w:color w:val="000000"/>
          <w:sz w:val="24"/>
          <w:szCs w:val="24"/>
          <w:lang w:eastAsia="en-ZA"/>
        </w:rPr>
        <w:t xml:space="preserve"> refer</w:t>
      </w:r>
      <w:r w:rsidR="00885CE4">
        <w:rPr>
          <w:rFonts w:eastAsia="Calibri" w:cs="Arial"/>
          <w:color w:val="000000"/>
          <w:sz w:val="24"/>
          <w:szCs w:val="24"/>
          <w:lang w:eastAsia="en-ZA"/>
        </w:rPr>
        <w:t xml:space="preserve">ring </w:t>
      </w:r>
      <w:r w:rsidR="00BD3B8B" w:rsidRPr="00A358BF">
        <w:rPr>
          <w:rFonts w:eastAsia="Calibri" w:cs="Arial"/>
          <w:color w:val="000000"/>
          <w:sz w:val="24"/>
          <w:szCs w:val="24"/>
          <w:lang w:eastAsia="en-ZA"/>
        </w:rPr>
        <w:t>R</w:t>
      </w:r>
      <w:r w:rsidR="00F60748">
        <w:rPr>
          <w:rFonts w:eastAsia="Calibri" w:cs="Arial"/>
          <w:color w:val="000000"/>
          <w:sz w:val="24"/>
          <w:szCs w:val="24"/>
          <w:lang w:eastAsia="en-ZA"/>
        </w:rPr>
        <w:t xml:space="preserve">emand </w:t>
      </w:r>
      <w:r w:rsidR="00BD3B8B" w:rsidRPr="00A358BF">
        <w:rPr>
          <w:rFonts w:eastAsia="Calibri" w:cs="Arial"/>
          <w:color w:val="000000"/>
          <w:sz w:val="24"/>
          <w:szCs w:val="24"/>
          <w:lang w:eastAsia="en-ZA"/>
        </w:rPr>
        <w:t>D</w:t>
      </w:r>
      <w:r w:rsidR="00F60748">
        <w:rPr>
          <w:rFonts w:eastAsia="Calibri" w:cs="Arial"/>
          <w:color w:val="000000"/>
          <w:sz w:val="24"/>
          <w:szCs w:val="24"/>
          <w:lang w:eastAsia="en-ZA"/>
        </w:rPr>
        <w:t>etainee</w:t>
      </w:r>
      <w:r w:rsidR="00BD3B8B" w:rsidRPr="00A358BF">
        <w:rPr>
          <w:rFonts w:eastAsia="Calibri" w:cs="Arial"/>
          <w:color w:val="000000"/>
          <w:sz w:val="24"/>
          <w:szCs w:val="24"/>
          <w:lang w:eastAsia="en-ZA"/>
        </w:rPr>
        <w:t>s</w:t>
      </w:r>
      <w:r w:rsidR="00F60748">
        <w:rPr>
          <w:rFonts w:eastAsia="Calibri" w:cs="Arial"/>
          <w:color w:val="000000"/>
          <w:sz w:val="24"/>
          <w:szCs w:val="24"/>
          <w:lang w:eastAsia="en-ZA"/>
        </w:rPr>
        <w:t xml:space="preserve"> (RDs)</w:t>
      </w:r>
      <w:r w:rsidR="00BD3B8B" w:rsidRPr="00A358BF">
        <w:rPr>
          <w:rFonts w:eastAsia="Calibri" w:cs="Arial"/>
          <w:color w:val="000000"/>
          <w:sz w:val="24"/>
          <w:szCs w:val="24"/>
          <w:lang w:eastAsia="en-ZA"/>
        </w:rPr>
        <w:t xml:space="preserve"> to court before completing a period of two years for consideration of their detention and thereafter annually if the RD remains in detention after the initial referral. The court</w:t>
      </w:r>
      <w:r w:rsidR="002F08A3">
        <w:rPr>
          <w:rFonts w:eastAsia="Calibri" w:cs="Arial"/>
          <w:color w:val="000000"/>
          <w:sz w:val="24"/>
          <w:szCs w:val="24"/>
          <w:lang w:eastAsia="en-ZA"/>
        </w:rPr>
        <w:t>s</w:t>
      </w:r>
      <w:r w:rsidR="00BD3B8B" w:rsidRPr="00A358BF">
        <w:rPr>
          <w:rFonts w:eastAsia="Calibri" w:cs="Arial"/>
          <w:color w:val="000000"/>
          <w:sz w:val="24"/>
          <w:szCs w:val="24"/>
          <w:lang w:eastAsia="en-ZA"/>
        </w:rPr>
        <w:t xml:space="preserve"> </w:t>
      </w:r>
      <w:r w:rsidR="00885CE4">
        <w:rPr>
          <w:rFonts w:eastAsia="Calibri" w:cs="Arial"/>
          <w:color w:val="000000"/>
          <w:sz w:val="24"/>
          <w:szCs w:val="24"/>
          <w:lang w:eastAsia="en-ZA"/>
        </w:rPr>
        <w:t xml:space="preserve">are required </w:t>
      </w:r>
      <w:r w:rsidR="00F724CB">
        <w:rPr>
          <w:rFonts w:eastAsia="Calibri" w:cs="Arial"/>
          <w:color w:val="000000"/>
          <w:sz w:val="24"/>
          <w:szCs w:val="24"/>
          <w:lang w:eastAsia="en-ZA"/>
        </w:rPr>
        <w:t xml:space="preserve">to </w:t>
      </w:r>
      <w:r w:rsidR="00BD3B8B" w:rsidRPr="00A358BF">
        <w:rPr>
          <w:rFonts w:eastAsia="Calibri" w:cs="Arial"/>
          <w:color w:val="000000"/>
          <w:sz w:val="24"/>
          <w:szCs w:val="24"/>
          <w:lang w:eastAsia="en-ZA"/>
        </w:rPr>
        <w:t>consider application</w:t>
      </w:r>
      <w:r w:rsidR="005530F8">
        <w:rPr>
          <w:rFonts w:eastAsia="Calibri" w:cs="Arial"/>
          <w:color w:val="000000"/>
          <w:sz w:val="24"/>
          <w:szCs w:val="24"/>
          <w:lang w:eastAsia="en-ZA"/>
        </w:rPr>
        <w:t>s</w:t>
      </w:r>
      <w:r w:rsidR="00BD3B8B" w:rsidRPr="00A358BF">
        <w:rPr>
          <w:rFonts w:eastAsia="Calibri" w:cs="Arial"/>
          <w:color w:val="000000"/>
          <w:sz w:val="24"/>
          <w:szCs w:val="24"/>
          <w:lang w:eastAsia="en-ZA"/>
        </w:rPr>
        <w:t xml:space="preserve"> from DCS</w:t>
      </w:r>
      <w:r w:rsidR="005530F8">
        <w:rPr>
          <w:rFonts w:eastAsia="Calibri" w:cs="Arial"/>
          <w:color w:val="000000"/>
          <w:sz w:val="24"/>
          <w:szCs w:val="24"/>
          <w:lang w:eastAsia="en-ZA"/>
        </w:rPr>
        <w:t xml:space="preserve"> where </w:t>
      </w:r>
      <w:r w:rsidR="005530F8" w:rsidRPr="00A358BF">
        <w:rPr>
          <w:rFonts w:eastAsia="Calibri" w:cs="Arial"/>
          <w:sz w:val="24"/>
          <w:szCs w:val="24"/>
          <w:lang w:val="en-US" w:eastAsia="en-ZA"/>
        </w:rPr>
        <w:t>possible outcomes are as follows</w:t>
      </w:r>
      <w:r w:rsidR="00646CD0">
        <w:rPr>
          <w:rFonts w:eastAsia="Calibri" w:cs="Arial"/>
          <w:color w:val="000000"/>
          <w:sz w:val="24"/>
          <w:szCs w:val="24"/>
          <w:lang w:eastAsia="en-ZA"/>
        </w:rPr>
        <w:t>:-</w:t>
      </w:r>
    </w:p>
    <w:p w:rsidR="00586F66" w:rsidRPr="00A358BF" w:rsidRDefault="00586F66" w:rsidP="005530F8">
      <w:pPr>
        <w:widowControl w:val="0"/>
        <w:numPr>
          <w:ilvl w:val="0"/>
          <w:numId w:val="3"/>
        </w:numPr>
        <w:autoSpaceDE w:val="0"/>
        <w:autoSpaceDN w:val="0"/>
        <w:adjustRightInd w:val="0"/>
        <w:spacing w:after="240" w:line="312" w:lineRule="auto"/>
        <w:ind w:left="1418" w:right="-22" w:hanging="142"/>
        <w:contextualSpacing/>
        <w:jc w:val="both"/>
        <w:rPr>
          <w:rFonts w:eastAsia="Calibri" w:cs="Arial"/>
          <w:sz w:val="24"/>
          <w:szCs w:val="24"/>
          <w:lang w:val="en-US" w:eastAsia="en-ZA"/>
        </w:rPr>
      </w:pPr>
      <w:r w:rsidRPr="00A358BF">
        <w:rPr>
          <w:rFonts w:eastAsia="Calibri" w:cs="Arial"/>
          <w:bCs/>
          <w:i/>
          <w:iCs/>
          <w:sz w:val="24"/>
          <w:szCs w:val="24"/>
          <w:lang w:val="en-US" w:eastAsia="en-ZA"/>
        </w:rPr>
        <w:t>Release of the RD</w:t>
      </w:r>
    </w:p>
    <w:p w:rsidR="00586F66" w:rsidRPr="00A358BF" w:rsidRDefault="00586F66" w:rsidP="005530F8">
      <w:pPr>
        <w:widowControl w:val="0"/>
        <w:numPr>
          <w:ilvl w:val="0"/>
          <w:numId w:val="4"/>
        </w:numPr>
        <w:autoSpaceDE w:val="0"/>
        <w:autoSpaceDN w:val="0"/>
        <w:adjustRightInd w:val="0"/>
        <w:spacing w:after="240" w:line="312" w:lineRule="auto"/>
        <w:ind w:left="1418" w:right="-22" w:hanging="142"/>
        <w:contextualSpacing/>
        <w:jc w:val="both"/>
        <w:rPr>
          <w:rFonts w:eastAsia="Calibri" w:cs="Arial"/>
          <w:sz w:val="24"/>
          <w:szCs w:val="24"/>
          <w:lang w:val="en-US" w:eastAsia="en-ZA"/>
        </w:rPr>
      </w:pPr>
      <w:r w:rsidRPr="00A358BF">
        <w:rPr>
          <w:rFonts w:eastAsia="Calibri" w:cs="Arial"/>
          <w:bCs/>
          <w:i/>
          <w:iCs/>
          <w:sz w:val="24"/>
          <w:szCs w:val="24"/>
          <w:lang w:val="en-US" w:eastAsia="en-ZA"/>
        </w:rPr>
        <w:t>Release and placement on warning,</w:t>
      </w:r>
      <w:r w:rsidRPr="00A358BF">
        <w:rPr>
          <w:rFonts w:eastAsia="Calibri" w:cs="Arial"/>
          <w:sz w:val="24"/>
          <w:szCs w:val="24"/>
          <w:lang w:val="en-US" w:eastAsia="en-ZA"/>
        </w:rPr>
        <w:t xml:space="preserve"> </w:t>
      </w:r>
    </w:p>
    <w:p w:rsidR="00586F66" w:rsidRPr="00A358BF" w:rsidRDefault="00586F66" w:rsidP="005530F8">
      <w:pPr>
        <w:widowControl w:val="0"/>
        <w:numPr>
          <w:ilvl w:val="0"/>
          <w:numId w:val="4"/>
        </w:numPr>
        <w:autoSpaceDE w:val="0"/>
        <w:autoSpaceDN w:val="0"/>
        <w:adjustRightInd w:val="0"/>
        <w:spacing w:after="240" w:line="312" w:lineRule="auto"/>
        <w:ind w:left="1418" w:right="-22" w:hanging="142"/>
        <w:contextualSpacing/>
        <w:jc w:val="both"/>
        <w:rPr>
          <w:rFonts w:eastAsia="Calibri" w:cs="Arial"/>
          <w:sz w:val="24"/>
          <w:szCs w:val="24"/>
          <w:lang w:val="en-US" w:eastAsia="en-ZA"/>
        </w:rPr>
      </w:pPr>
      <w:r w:rsidRPr="00A358BF">
        <w:rPr>
          <w:rFonts w:eastAsia="Calibri" w:cs="Arial"/>
          <w:bCs/>
          <w:i/>
          <w:iCs/>
          <w:sz w:val="24"/>
          <w:szCs w:val="24"/>
          <w:lang w:val="en-US" w:eastAsia="en-ZA"/>
        </w:rPr>
        <w:t xml:space="preserve">Placement under s62(f):  Supervision by a correctional official </w:t>
      </w:r>
    </w:p>
    <w:p w:rsidR="00586F66" w:rsidRPr="00A358BF" w:rsidRDefault="00586F66" w:rsidP="005530F8">
      <w:pPr>
        <w:widowControl w:val="0"/>
        <w:numPr>
          <w:ilvl w:val="0"/>
          <w:numId w:val="4"/>
        </w:numPr>
        <w:autoSpaceDE w:val="0"/>
        <w:autoSpaceDN w:val="0"/>
        <w:adjustRightInd w:val="0"/>
        <w:spacing w:after="240" w:line="312" w:lineRule="auto"/>
        <w:ind w:left="1418" w:right="-22" w:hanging="142"/>
        <w:contextualSpacing/>
        <w:jc w:val="both"/>
        <w:rPr>
          <w:rFonts w:eastAsia="Calibri" w:cs="Arial"/>
          <w:sz w:val="24"/>
          <w:szCs w:val="24"/>
          <w:lang w:eastAsia="en-ZA"/>
        </w:rPr>
      </w:pPr>
      <w:r w:rsidRPr="00A358BF">
        <w:rPr>
          <w:rFonts w:eastAsia="Calibri" w:cs="Arial"/>
          <w:bCs/>
          <w:i/>
          <w:iCs/>
          <w:sz w:val="24"/>
          <w:szCs w:val="24"/>
          <w:lang w:val="en-US" w:eastAsia="en-ZA"/>
        </w:rPr>
        <w:t xml:space="preserve">Reduction of the amount of bail </w:t>
      </w:r>
    </w:p>
    <w:p w:rsidR="00586F66" w:rsidRPr="00A358BF" w:rsidRDefault="00586F66" w:rsidP="005530F8">
      <w:pPr>
        <w:widowControl w:val="0"/>
        <w:numPr>
          <w:ilvl w:val="0"/>
          <w:numId w:val="4"/>
        </w:numPr>
        <w:autoSpaceDE w:val="0"/>
        <w:autoSpaceDN w:val="0"/>
        <w:adjustRightInd w:val="0"/>
        <w:spacing w:after="240" w:line="312" w:lineRule="auto"/>
        <w:ind w:left="1418" w:right="-22" w:hanging="142"/>
        <w:contextualSpacing/>
        <w:jc w:val="both"/>
        <w:rPr>
          <w:rFonts w:eastAsia="Calibri" w:cs="Arial"/>
          <w:sz w:val="24"/>
          <w:szCs w:val="24"/>
          <w:lang w:eastAsia="en-ZA"/>
        </w:rPr>
      </w:pPr>
      <w:r w:rsidRPr="00A358BF">
        <w:rPr>
          <w:rFonts w:eastAsia="Calibri" w:cs="Arial"/>
          <w:bCs/>
          <w:i/>
          <w:iCs/>
          <w:sz w:val="24"/>
          <w:szCs w:val="24"/>
          <w:lang w:val="en-US" w:eastAsia="en-ZA"/>
        </w:rPr>
        <w:t>Placement in a secure care facilities</w:t>
      </w:r>
    </w:p>
    <w:p w:rsidR="00586F66" w:rsidRPr="00A358BF" w:rsidRDefault="00586F66" w:rsidP="005530F8">
      <w:pPr>
        <w:widowControl w:val="0"/>
        <w:numPr>
          <w:ilvl w:val="0"/>
          <w:numId w:val="4"/>
        </w:numPr>
        <w:autoSpaceDE w:val="0"/>
        <w:autoSpaceDN w:val="0"/>
        <w:adjustRightInd w:val="0"/>
        <w:spacing w:after="240" w:line="312" w:lineRule="auto"/>
        <w:ind w:left="1418" w:right="-22" w:hanging="142"/>
        <w:contextualSpacing/>
        <w:jc w:val="both"/>
        <w:rPr>
          <w:rFonts w:eastAsia="Calibri" w:cs="Arial"/>
          <w:sz w:val="24"/>
          <w:szCs w:val="24"/>
          <w:lang w:eastAsia="en-ZA"/>
        </w:rPr>
      </w:pPr>
      <w:r w:rsidRPr="00A358BF">
        <w:rPr>
          <w:rFonts w:eastAsia="Calibri" w:cs="Arial"/>
          <w:bCs/>
          <w:i/>
          <w:iCs/>
          <w:sz w:val="24"/>
          <w:szCs w:val="24"/>
          <w:lang w:val="en-US" w:eastAsia="en-ZA"/>
        </w:rPr>
        <w:t>Decline to review bail (Unsuccessful application)</w:t>
      </w:r>
    </w:p>
    <w:p w:rsidR="00586F66" w:rsidRDefault="00E9595F" w:rsidP="00646CD0">
      <w:pPr>
        <w:keepNext/>
        <w:keepLines/>
        <w:spacing w:after="120" w:line="312" w:lineRule="auto"/>
        <w:ind w:left="567"/>
        <w:jc w:val="both"/>
        <w:outlineLvl w:val="1"/>
        <w:rPr>
          <w:rFonts w:eastAsia="Calibri" w:cs="Arial"/>
          <w:color w:val="000000"/>
          <w:sz w:val="24"/>
          <w:szCs w:val="24"/>
          <w:lang w:eastAsia="en-ZA"/>
        </w:rPr>
      </w:pPr>
      <w:r w:rsidRPr="00E9595F">
        <w:rPr>
          <w:rFonts w:eastAsia="Calibri" w:cs="Arial"/>
          <w:color w:val="000000"/>
          <w:sz w:val="24"/>
          <w:szCs w:val="24"/>
          <w:lang w:eastAsia="en-ZA"/>
        </w:rPr>
        <w:t xml:space="preserve">The department </w:t>
      </w:r>
      <w:r w:rsidR="00646CD0">
        <w:rPr>
          <w:rFonts w:eastAsia="Calibri" w:cs="Arial"/>
          <w:color w:val="000000"/>
          <w:sz w:val="24"/>
          <w:szCs w:val="24"/>
          <w:lang w:eastAsia="en-ZA"/>
        </w:rPr>
        <w:t>intends to intensify relationships</w:t>
      </w:r>
      <w:r w:rsidR="006660F9">
        <w:rPr>
          <w:rFonts w:eastAsia="Calibri" w:cs="Arial"/>
          <w:color w:val="000000"/>
          <w:sz w:val="24"/>
          <w:szCs w:val="24"/>
          <w:lang w:eastAsia="en-ZA"/>
        </w:rPr>
        <w:t xml:space="preserve"> with the</w:t>
      </w:r>
      <w:r w:rsidRPr="00E9595F">
        <w:rPr>
          <w:rFonts w:eastAsia="Calibri" w:cs="Arial"/>
          <w:color w:val="000000"/>
          <w:sz w:val="24"/>
          <w:szCs w:val="24"/>
          <w:lang w:eastAsia="en-ZA"/>
        </w:rPr>
        <w:t xml:space="preserve"> </w:t>
      </w:r>
      <w:r w:rsidR="002F08A3">
        <w:rPr>
          <w:rFonts w:eastAsia="Calibri" w:cs="Arial"/>
          <w:color w:val="000000"/>
          <w:sz w:val="24"/>
          <w:szCs w:val="24"/>
          <w:lang w:eastAsia="en-ZA"/>
        </w:rPr>
        <w:t xml:space="preserve">Justice Cluster </w:t>
      </w:r>
      <w:r w:rsidR="006660F9">
        <w:rPr>
          <w:rFonts w:eastAsia="Calibri" w:cs="Arial"/>
          <w:color w:val="000000"/>
          <w:sz w:val="24"/>
          <w:szCs w:val="24"/>
          <w:lang w:eastAsia="en-ZA"/>
        </w:rPr>
        <w:t>by participating in the</w:t>
      </w:r>
      <w:r w:rsidR="00646CD0">
        <w:rPr>
          <w:rFonts w:eastAsia="Calibri" w:cs="Arial"/>
          <w:color w:val="000000"/>
          <w:sz w:val="24"/>
          <w:szCs w:val="24"/>
          <w:lang w:eastAsia="en-ZA"/>
        </w:rPr>
        <w:t xml:space="preserve"> </w:t>
      </w:r>
      <w:r w:rsidR="00782EAD">
        <w:rPr>
          <w:rFonts w:eastAsia="Calibri" w:cs="Arial"/>
          <w:color w:val="000000"/>
          <w:sz w:val="24"/>
          <w:szCs w:val="24"/>
          <w:lang w:eastAsia="en-ZA"/>
        </w:rPr>
        <w:t xml:space="preserve">National </w:t>
      </w:r>
      <w:r w:rsidR="00646CD0" w:rsidRPr="00646CD0">
        <w:rPr>
          <w:rFonts w:eastAsia="Calibri" w:cs="Arial"/>
          <w:color w:val="000000"/>
          <w:sz w:val="24"/>
          <w:szCs w:val="24"/>
          <w:lang w:eastAsia="en-ZA"/>
        </w:rPr>
        <w:t>Efficiency Enhancement Committee (NEEC)</w:t>
      </w:r>
      <w:r w:rsidR="006660F9">
        <w:rPr>
          <w:rFonts w:eastAsia="Calibri" w:cs="Arial"/>
          <w:color w:val="000000"/>
          <w:sz w:val="24"/>
          <w:szCs w:val="24"/>
          <w:lang w:eastAsia="en-ZA"/>
        </w:rPr>
        <w:t>,</w:t>
      </w:r>
      <w:r w:rsidR="00646CD0" w:rsidRPr="00646CD0">
        <w:rPr>
          <w:rFonts w:eastAsia="Calibri" w:cs="Arial"/>
          <w:color w:val="000000"/>
          <w:sz w:val="24"/>
          <w:szCs w:val="24"/>
          <w:lang w:eastAsia="en-ZA"/>
        </w:rPr>
        <w:t xml:space="preserve"> Judicial Case</w:t>
      </w:r>
      <w:r w:rsidR="00646CD0">
        <w:rPr>
          <w:rFonts w:eastAsia="Calibri" w:cs="Arial"/>
          <w:color w:val="000000"/>
          <w:sz w:val="24"/>
          <w:szCs w:val="24"/>
          <w:lang w:eastAsia="en-ZA"/>
        </w:rPr>
        <w:t xml:space="preserve"> F</w:t>
      </w:r>
      <w:r w:rsidR="00646CD0" w:rsidRPr="00646CD0">
        <w:rPr>
          <w:rFonts w:eastAsia="Calibri" w:cs="Arial"/>
          <w:color w:val="000000"/>
          <w:sz w:val="24"/>
          <w:szCs w:val="24"/>
          <w:lang w:eastAsia="en-ZA"/>
        </w:rPr>
        <w:t xml:space="preserve">low structures </w:t>
      </w:r>
      <w:r w:rsidR="006660F9">
        <w:rPr>
          <w:rFonts w:eastAsia="Calibri" w:cs="Arial"/>
          <w:color w:val="000000"/>
          <w:sz w:val="24"/>
          <w:szCs w:val="24"/>
          <w:lang w:eastAsia="en-ZA"/>
        </w:rPr>
        <w:t>and</w:t>
      </w:r>
      <w:r w:rsidR="00646CD0">
        <w:rPr>
          <w:rFonts w:eastAsia="Calibri" w:cs="Arial"/>
          <w:color w:val="000000"/>
          <w:sz w:val="24"/>
          <w:szCs w:val="24"/>
          <w:lang w:eastAsia="en-ZA"/>
        </w:rPr>
        <w:t xml:space="preserve"> the courts to</w:t>
      </w:r>
      <w:r>
        <w:rPr>
          <w:rFonts w:eastAsia="Calibri" w:cs="Arial"/>
          <w:color w:val="000000"/>
          <w:sz w:val="24"/>
          <w:szCs w:val="24"/>
          <w:lang w:eastAsia="en-ZA"/>
        </w:rPr>
        <w:t xml:space="preserve"> address this challenge</w:t>
      </w:r>
      <w:r w:rsidRPr="00E9595F">
        <w:rPr>
          <w:rFonts w:eastAsia="Calibri" w:cs="Arial"/>
          <w:color w:val="000000"/>
          <w:sz w:val="24"/>
          <w:szCs w:val="24"/>
          <w:lang w:eastAsia="en-ZA"/>
        </w:rPr>
        <w:t>.</w:t>
      </w:r>
    </w:p>
    <w:p w:rsidR="00646CD0" w:rsidRPr="00E9595F" w:rsidRDefault="00646CD0" w:rsidP="00646CD0">
      <w:pPr>
        <w:keepNext/>
        <w:keepLines/>
        <w:spacing w:after="120" w:line="312" w:lineRule="auto"/>
        <w:ind w:left="567"/>
        <w:jc w:val="both"/>
        <w:outlineLvl w:val="1"/>
        <w:rPr>
          <w:rFonts w:eastAsia="Calibri" w:cs="Arial"/>
          <w:color w:val="000000"/>
          <w:sz w:val="24"/>
          <w:szCs w:val="24"/>
          <w:lang w:eastAsia="en-ZA"/>
        </w:rPr>
      </w:pPr>
    </w:p>
    <w:p w:rsidR="00586F66" w:rsidRDefault="00646CD0" w:rsidP="00646CD0">
      <w:pPr>
        <w:keepNext/>
        <w:keepLines/>
        <w:numPr>
          <w:ilvl w:val="0"/>
          <w:numId w:val="1"/>
        </w:numPr>
        <w:spacing w:after="120" w:line="312" w:lineRule="auto"/>
        <w:ind w:hanging="720"/>
        <w:jc w:val="both"/>
        <w:outlineLvl w:val="1"/>
        <w:rPr>
          <w:rFonts w:cs="Arial"/>
          <w:b/>
          <w:sz w:val="24"/>
          <w:szCs w:val="24"/>
        </w:rPr>
      </w:pPr>
      <w:r>
        <w:rPr>
          <w:rFonts w:cs="Arial"/>
          <w:sz w:val="24"/>
          <w:szCs w:val="24"/>
        </w:rPr>
        <w:t>The</w:t>
      </w:r>
      <w:r w:rsidRPr="00EC3D8D">
        <w:rPr>
          <w:rFonts w:cs="Arial"/>
          <w:sz w:val="24"/>
          <w:szCs w:val="24"/>
        </w:rPr>
        <w:t xml:space="preserve"> strategies developed during the two consultative sessions held in November 2021 for all six regions </w:t>
      </w:r>
      <w:r w:rsidR="00F724CB">
        <w:rPr>
          <w:rFonts w:cs="Arial"/>
          <w:sz w:val="24"/>
          <w:szCs w:val="24"/>
        </w:rPr>
        <w:t xml:space="preserve">relates to </w:t>
      </w:r>
      <w:r w:rsidRPr="00EC3D8D">
        <w:rPr>
          <w:rFonts w:cs="Arial"/>
          <w:sz w:val="24"/>
          <w:szCs w:val="24"/>
        </w:rPr>
        <w:t>measu</w:t>
      </w:r>
      <w:r w:rsidR="00F724CB">
        <w:rPr>
          <w:rFonts w:cs="Arial"/>
          <w:sz w:val="24"/>
          <w:szCs w:val="24"/>
        </w:rPr>
        <w:t xml:space="preserve">res to reduce overcrowding. </w:t>
      </w:r>
      <w:r>
        <w:rPr>
          <w:rFonts w:cs="Arial"/>
          <w:sz w:val="24"/>
          <w:szCs w:val="24"/>
        </w:rPr>
        <w:t>Head</w:t>
      </w:r>
      <w:r w:rsidR="006660F9">
        <w:rPr>
          <w:rFonts w:cs="Arial"/>
          <w:sz w:val="24"/>
          <w:szCs w:val="24"/>
        </w:rPr>
        <w:t>s</w:t>
      </w:r>
      <w:r>
        <w:rPr>
          <w:rFonts w:cs="Arial"/>
          <w:sz w:val="24"/>
          <w:szCs w:val="24"/>
        </w:rPr>
        <w:t xml:space="preserve"> of Centres were encouraged to establish and maintain stakeholder </w:t>
      </w:r>
      <w:r w:rsidR="002F08A3">
        <w:rPr>
          <w:rFonts w:cs="Arial"/>
          <w:sz w:val="24"/>
          <w:szCs w:val="24"/>
        </w:rPr>
        <w:t xml:space="preserve">relations </w:t>
      </w:r>
      <w:r>
        <w:rPr>
          <w:rFonts w:cs="Arial"/>
          <w:sz w:val="24"/>
          <w:szCs w:val="24"/>
        </w:rPr>
        <w:t xml:space="preserve">by attending </w:t>
      </w:r>
      <w:r w:rsidRPr="00646CD0">
        <w:rPr>
          <w:rFonts w:cs="Arial"/>
          <w:sz w:val="24"/>
          <w:szCs w:val="24"/>
        </w:rPr>
        <w:t>District Efficiency Enhancement Committee (DEEC</w:t>
      </w:r>
      <w:r>
        <w:rPr>
          <w:rFonts w:cs="Arial"/>
          <w:sz w:val="24"/>
          <w:szCs w:val="24"/>
        </w:rPr>
        <w:t xml:space="preserve">) </w:t>
      </w:r>
      <w:r w:rsidR="006660F9">
        <w:rPr>
          <w:rFonts w:cs="Arial"/>
          <w:sz w:val="24"/>
          <w:szCs w:val="24"/>
        </w:rPr>
        <w:t xml:space="preserve">meetings </w:t>
      </w:r>
      <w:r>
        <w:rPr>
          <w:rFonts w:cs="Arial"/>
          <w:sz w:val="24"/>
          <w:szCs w:val="24"/>
        </w:rPr>
        <w:t xml:space="preserve">where issues relating to Case flows </w:t>
      </w:r>
      <w:r w:rsidR="006660F9">
        <w:rPr>
          <w:rFonts w:cs="Arial"/>
          <w:sz w:val="24"/>
          <w:szCs w:val="24"/>
        </w:rPr>
        <w:t>are</w:t>
      </w:r>
      <w:r>
        <w:rPr>
          <w:rFonts w:cs="Arial"/>
          <w:sz w:val="24"/>
          <w:szCs w:val="24"/>
        </w:rPr>
        <w:t xml:space="preserve"> addressed. </w:t>
      </w:r>
    </w:p>
    <w:p w:rsidR="0031710C" w:rsidRDefault="0031710C" w:rsidP="0031710C">
      <w:pPr>
        <w:rPr>
          <w:rFonts w:cs="Arial"/>
          <w:b/>
          <w:sz w:val="24"/>
          <w:szCs w:val="24"/>
        </w:rPr>
      </w:pPr>
    </w:p>
    <w:p w:rsidR="0031710C" w:rsidRDefault="0031710C" w:rsidP="0031710C">
      <w:pPr>
        <w:rPr>
          <w:rFonts w:cs="Arial"/>
          <w:b/>
          <w:sz w:val="24"/>
          <w:szCs w:val="24"/>
        </w:rPr>
      </w:pPr>
    </w:p>
    <w:p w:rsidR="0031710C" w:rsidRDefault="0031710C" w:rsidP="0031710C">
      <w:pPr>
        <w:rPr>
          <w:rFonts w:cs="Arial"/>
          <w:b/>
          <w:sz w:val="24"/>
          <w:szCs w:val="24"/>
        </w:rPr>
      </w:pPr>
    </w:p>
    <w:p w:rsidR="0031710C" w:rsidRDefault="0031710C" w:rsidP="0031710C">
      <w:pPr>
        <w:rPr>
          <w:rFonts w:cs="Arial"/>
          <w:b/>
          <w:sz w:val="24"/>
          <w:szCs w:val="24"/>
        </w:rPr>
      </w:pPr>
    </w:p>
    <w:p w:rsidR="0031710C" w:rsidRPr="0031710C" w:rsidRDefault="00F724CB" w:rsidP="0031710C">
      <w:pPr>
        <w:rPr>
          <w:rFonts w:cs="Arial"/>
          <w:b/>
          <w:sz w:val="24"/>
          <w:szCs w:val="24"/>
        </w:rPr>
      </w:pPr>
      <w:r>
        <w:rPr>
          <w:rFonts w:cs="Arial"/>
          <w:b/>
          <w:sz w:val="24"/>
          <w:szCs w:val="24"/>
        </w:rPr>
        <w:t>END</w:t>
      </w:r>
    </w:p>
    <w:sectPr w:rsidR="0031710C" w:rsidRPr="0031710C" w:rsidSect="00F7256F">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092" w:rsidRDefault="003F7092" w:rsidP="00032D81">
      <w:r>
        <w:separator/>
      </w:r>
    </w:p>
  </w:endnote>
  <w:endnote w:type="continuationSeparator" w:id="0">
    <w:p w:rsidR="003F7092" w:rsidRDefault="003F7092" w:rsidP="00032D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4CB" w:rsidRDefault="00F724CB" w:rsidP="00F724CB">
    <w:pPr>
      <w:pStyle w:val="Footer"/>
    </w:pPr>
    <w:r>
      <w:t>PQ1257-NW1513E</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3F709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F7092">
      <w:rPr>
        <w:b/>
        <w:bCs/>
        <w:noProof/>
      </w:rPr>
      <w:t>1</w:t>
    </w:r>
    <w:r>
      <w:rPr>
        <w:b/>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092" w:rsidRDefault="003F7092" w:rsidP="00032D81">
      <w:r>
        <w:separator/>
      </w:r>
    </w:p>
  </w:footnote>
  <w:footnote w:type="continuationSeparator" w:id="0">
    <w:p w:rsidR="003F7092" w:rsidRDefault="003F7092" w:rsidP="00032D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A7B70"/>
    <w:multiLevelType w:val="hybridMultilevel"/>
    <w:tmpl w:val="7262AEB4"/>
    <w:lvl w:ilvl="0" w:tplc="CAFE067A">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AC16F8"/>
    <w:multiLevelType w:val="hybridMultilevel"/>
    <w:tmpl w:val="FAA41F74"/>
    <w:lvl w:ilvl="0" w:tplc="C7185CBC">
      <w:start w:val="9"/>
      <w:numFmt w:val="lowerLetter"/>
      <w:lvlText w:val="(%1)"/>
      <w:lvlJc w:val="left"/>
      <w:pPr>
        <w:ind w:left="720" w:hanging="36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613E5B00"/>
    <w:multiLevelType w:val="hybridMultilevel"/>
    <w:tmpl w:val="5906A1A4"/>
    <w:lvl w:ilvl="0" w:tplc="A2669D52">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75C02A14"/>
    <w:multiLevelType w:val="hybridMultilevel"/>
    <w:tmpl w:val="3B0808FC"/>
    <w:lvl w:ilvl="0" w:tplc="E23A4AFC">
      <w:start w:val="2"/>
      <w:numFmt w:val="lowerRoman"/>
      <w:lvlText w:val="(%1)"/>
      <w:lvlJc w:val="left"/>
      <w:pPr>
        <w:ind w:left="1080" w:hanging="72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BE13C3"/>
    <w:rsid w:val="000063AE"/>
    <w:rsid w:val="00032D81"/>
    <w:rsid w:val="000D32B1"/>
    <w:rsid w:val="00115AC5"/>
    <w:rsid w:val="00130661"/>
    <w:rsid w:val="00197309"/>
    <w:rsid w:val="001B4208"/>
    <w:rsid w:val="001B652C"/>
    <w:rsid w:val="00235CF6"/>
    <w:rsid w:val="002F08A3"/>
    <w:rsid w:val="0031710C"/>
    <w:rsid w:val="003222CF"/>
    <w:rsid w:val="003308FF"/>
    <w:rsid w:val="003F7092"/>
    <w:rsid w:val="0044622A"/>
    <w:rsid w:val="0044795F"/>
    <w:rsid w:val="004B6288"/>
    <w:rsid w:val="005110A4"/>
    <w:rsid w:val="005530F8"/>
    <w:rsid w:val="00586F66"/>
    <w:rsid w:val="005D5371"/>
    <w:rsid w:val="00610CFC"/>
    <w:rsid w:val="00631DCB"/>
    <w:rsid w:val="00646CD0"/>
    <w:rsid w:val="006660F9"/>
    <w:rsid w:val="00701F80"/>
    <w:rsid w:val="007177EB"/>
    <w:rsid w:val="00730725"/>
    <w:rsid w:val="00737344"/>
    <w:rsid w:val="00782EAD"/>
    <w:rsid w:val="007D142F"/>
    <w:rsid w:val="007D235E"/>
    <w:rsid w:val="007F2BB5"/>
    <w:rsid w:val="007F46E1"/>
    <w:rsid w:val="00885CE4"/>
    <w:rsid w:val="0089252B"/>
    <w:rsid w:val="0090492B"/>
    <w:rsid w:val="009F78B2"/>
    <w:rsid w:val="00A22B13"/>
    <w:rsid w:val="00AA5523"/>
    <w:rsid w:val="00AE05DB"/>
    <w:rsid w:val="00B22C58"/>
    <w:rsid w:val="00B6148A"/>
    <w:rsid w:val="00B841CB"/>
    <w:rsid w:val="00B875C1"/>
    <w:rsid w:val="00B97A67"/>
    <w:rsid w:val="00BD2D2D"/>
    <w:rsid w:val="00BD3B8B"/>
    <w:rsid w:val="00BE13C3"/>
    <w:rsid w:val="00C5056B"/>
    <w:rsid w:val="00C92B71"/>
    <w:rsid w:val="00CD0BEB"/>
    <w:rsid w:val="00D459D1"/>
    <w:rsid w:val="00D51A9E"/>
    <w:rsid w:val="00D766C7"/>
    <w:rsid w:val="00E9595F"/>
    <w:rsid w:val="00EC3D8D"/>
    <w:rsid w:val="00ED491A"/>
    <w:rsid w:val="00F23C31"/>
    <w:rsid w:val="00F60748"/>
    <w:rsid w:val="00F724CB"/>
    <w:rsid w:val="00F7256F"/>
    <w:rsid w:val="00F9646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3C3"/>
    <w:rPr>
      <w:rFonts w:ascii="Arial" w:eastAsia="Times New Roman" w:hAnsi="Arial"/>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2D81"/>
    <w:pPr>
      <w:tabs>
        <w:tab w:val="center" w:pos="4513"/>
        <w:tab w:val="right" w:pos="9026"/>
      </w:tabs>
    </w:pPr>
  </w:style>
  <w:style w:type="character" w:customStyle="1" w:styleId="HeaderChar">
    <w:name w:val="Header Char"/>
    <w:link w:val="Header"/>
    <w:uiPriority w:val="99"/>
    <w:rsid w:val="00032D81"/>
    <w:rPr>
      <w:rFonts w:ascii="Arial" w:eastAsia="Times New Roman" w:hAnsi="Arial"/>
      <w:sz w:val="22"/>
      <w:szCs w:val="22"/>
      <w:lang w:eastAsia="en-US"/>
    </w:rPr>
  </w:style>
  <w:style w:type="paragraph" w:styleId="Footer">
    <w:name w:val="footer"/>
    <w:basedOn w:val="Normal"/>
    <w:link w:val="FooterChar"/>
    <w:uiPriority w:val="99"/>
    <w:unhideWhenUsed/>
    <w:rsid w:val="00032D81"/>
    <w:pPr>
      <w:tabs>
        <w:tab w:val="center" w:pos="4513"/>
        <w:tab w:val="right" w:pos="9026"/>
      </w:tabs>
    </w:pPr>
  </w:style>
  <w:style w:type="character" w:customStyle="1" w:styleId="FooterChar">
    <w:name w:val="Footer Char"/>
    <w:link w:val="Footer"/>
    <w:uiPriority w:val="99"/>
    <w:rsid w:val="00032D81"/>
    <w:rPr>
      <w:rFonts w:ascii="Arial" w:eastAsia="Times New Roman" w:hAnsi="Arial"/>
      <w:sz w:val="22"/>
      <w:szCs w:val="22"/>
      <w:lang w:eastAsia="en-US"/>
    </w:rPr>
  </w:style>
  <w:style w:type="paragraph" w:styleId="BalloonText">
    <w:name w:val="Balloon Text"/>
    <w:basedOn w:val="Normal"/>
    <w:link w:val="BalloonTextChar"/>
    <w:uiPriority w:val="99"/>
    <w:semiHidden/>
    <w:unhideWhenUsed/>
    <w:rsid w:val="009F78B2"/>
    <w:rPr>
      <w:rFonts w:ascii="Segoe UI" w:hAnsi="Segoe UI" w:cs="Segoe UI"/>
      <w:sz w:val="18"/>
      <w:szCs w:val="18"/>
    </w:rPr>
  </w:style>
  <w:style w:type="character" w:customStyle="1" w:styleId="BalloonTextChar">
    <w:name w:val="Balloon Text Char"/>
    <w:link w:val="BalloonText"/>
    <w:uiPriority w:val="99"/>
    <w:semiHidden/>
    <w:rsid w:val="009F78B2"/>
    <w:rPr>
      <w:rFonts w:ascii="Segoe UI" w:eastAsia="Times New Roman"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C96C5-3E54-4279-8568-62465D7E4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Correctional Services</Company>
  <LinksUpToDate>false</LinksUpToDate>
  <CharactersWithSpaces>2723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andronic</dc:creator>
  <cp:lastModifiedBy>USER</cp:lastModifiedBy>
  <cp:revision>2</cp:revision>
  <cp:lastPrinted>2022-04-26T07:44:00Z</cp:lastPrinted>
  <dcterms:created xsi:type="dcterms:W3CDTF">2022-05-13T09:47:00Z</dcterms:created>
  <dcterms:modified xsi:type="dcterms:W3CDTF">2022-05-13T09:47:00Z</dcterms:modified>
</cp:coreProperties>
</file>