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31A3" w14:textId="77777777" w:rsidR="00905F79" w:rsidRDefault="00905F79" w:rsidP="00905F79">
      <w:pPr>
        <w:spacing w:after="200" w:line="276" w:lineRule="auto"/>
        <w:rPr>
          <w:rFonts w:ascii="Arial" w:eastAsia="Calibri" w:hAnsi="Arial" w:cs="Arial"/>
          <w:b/>
          <w:bCs/>
          <w:lang w:val="en-ZA"/>
        </w:rPr>
      </w:pPr>
    </w:p>
    <w:p w14:paraId="6CC9E61F" w14:textId="77777777" w:rsidR="00905F79" w:rsidRDefault="00905F79" w:rsidP="00905F79">
      <w:pPr>
        <w:spacing w:after="200" w:line="276" w:lineRule="auto"/>
        <w:jc w:val="center"/>
        <w:rPr>
          <w:rFonts w:ascii="Arial" w:eastAsia="Calibri" w:hAnsi="Arial" w:cs="Arial"/>
          <w:b/>
          <w:bCs/>
          <w:lang w:val="en-ZA"/>
        </w:rPr>
      </w:pPr>
      <w:r>
        <w:rPr>
          <w:rFonts w:eastAsia="Calibri" w:cs="Arial"/>
          <w:b/>
          <w:bCs/>
          <w:noProof/>
          <w:lang w:eastAsia="en-ZA"/>
        </w:rPr>
      </w:r>
      <w:r>
        <w:rPr>
          <w:rFonts w:eastAsia="Calibri" w:cs="Arial"/>
          <w:b/>
          <w:bCs/>
        </w:rPr>
        <w:pict w14:anchorId="69EDD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5.35pt;height:62.9pt;mso-position-horizontal-relative:char;mso-position-vertical-relative:line">
            <v:imagedata r:id="rId10" o:title=""/>
            <w10:anchorlock/>
          </v:shape>
        </w:pict>
      </w:r>
    </w:p>
    <w:p w14:paraId="188E1E0A" w14:textId="77777777" w:rsidR="00905F79" w:rsidRPr="00D06174" w:rsidRDefault="00905F79" w:rsidP="00905F79">
      <w:pPr>
        <w:jc w:val="center"/>
        <w:rPr>
          <w:rFonts w:ascii="Arial" w:hAnsi="Arial" w:cs="Arial"/>
          <w:b/>
          <w:lang w:val="en-ZA"/>
        </w:rPr>
      </w:pPr>
      <w:r w:rsidRPr="00D06174">
        <w:rPr>
          <w:rFonts w:ascii="Arial" w:hAnsi="Arial" w:cs="Arial"/>
          <w:b/>
          <w:lang w:val="en-ZA"/>
        </w:rPr>
        <w:t xml:space="preserve">MINISTRY  </w:t>
      </w:r>
    </w:p>
    <w:p w14:paraId="1F2312F7" w14:textId="77777777" w:rsidR="00905F79" w:rsidRPr="00D06174" w:rsidRDefault="00905F79" w:rsidP="00905F79">
      <w:pPr>
        <w:jc w:val="center"/>
        <w:rPr>
          <w:rFonts w:ascii="Arial" w:hAnsi="Arial" w:cs="Arial"/>
          <w:b/>
          <w:lang w:val="en-ZA"/>
        </w:rPr>
      </w:pPr>
      <w:r w:rsidRPr="00D06174">
        <w:rPr>
          <w:rFonts w:ascii="Arial" w:hAnsi="Arial" w:cs="Arial"/>
          <w:b/>
          <w:lang w:val="en-ZA"/>
        </w:rPr>
        <w:t>JUSTICE AND CORRECTIONAL SERVICES</w:t>
      </w:r>
    </w:p>
    <w:p w14:paraId="1F9B6373" w14:textId="77777777" w:rsidR="00905F79" w:rsidRPr="00D06174" w:rsidRDefault="00905F79" w:rsidP="00905F79">
      <w:pPr>
        <w:jc w:val="center"/>
        <w:outlineLvl w:val="0"/>
        <w:rPr>
          <w:rFonts w:ascii="Arial" w:eastAsia="Arial Unicode MS" w:hAnsi="Arial" w:cs="Arial"/>
          <w:b/>
          <w:color w:val="000000"/>
          <w:lang w:val="en-ZA" w:eastAsia="en-ZA"/>
        </w:rPr>
      </w:pPr>
      <w:r w:rsidRPr="00D06174">
        <w:rPr>
          <w:rFonts w:ascii="Arial" w:eastAsia="Arial Unicode MS" w:hAnsi="Arial" w:cs="Arial"/>
          <w:b/>
          <w:color w:val="000000"/>
          <w:lang w:val="en-ZA" w:eastAsia="en-ZA"/>
        </w:rPr>
        <w:t>REPUBLIC OF SOUTH AFRICA</w:t>
      </w:r>
    </w:p>
    <w:p w14:paraId="274304D3" w14:textId="77777777" w:rsidR="00905F79" w:rsidRPr="00D06174" w:rsidRDefault="00905F79" w:rsidP="00905F79">
      <w:pPr>
        <w:pBdr>
          <w:bottom w:val="single" w:sz="4" w:space="1" w:color="auto"/>
        </w:pBdr>
        <w:spacing w:after="200" w:line="276" w:lineRule="auto"/>
        <w:jc w:val="center"/>
        <w:rPr>
          <w:rFonts w:ascii="Arial" w:eastAsia="Calibri" w:hAnsi="Arial" w:cs="Arial"/>
          <w:b/>
          <w:bCs/>
          <w:lang w:val="en-ZA"/>
        </w:rPr>
      </w:pPr>
    </w:p>
    <w:p w14:paraId="511CE885" w14:textId="77777777" w:rsidR="00130BDB" w:rsidRPr="008C0966" w:rsidRDefault="00130BDB" w:rsidP="00905F79">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14:paraId="5D11164C" w14:textId="77777777" w:rsidR="00130BDB" w:rsidRPr="008C0966" w:rsidRDefault="00905F79" w:rsidP="00905F79">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14:paraId="73915598" w14:textId="77777777" w:rsidR="00130BDB" w:rsidRPr="008C0966" w:rsidRDefault="00905F79" w:rsidP="00905F79">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0B4370">
        <w:rPr>
          <w:rFonts w:ascii="Arial" w:eastAsia="Calibri" w:hAnsi="Arial" w:cs="Arial"/>
          <w:b/>
          <w:bCs/>
          <w:lang w:val="en-GB"/>
        </w:rPr>
        <w:t>1</w:t>
      </w:r>
      <w:r w:rsidR="00631F68">
        <w:rPr>
          <w:rFonts w:ascii="Arial" w:eastAsia="Calibri" w:hAnsi="Arial" w:cs="Arial"/>
          <w:b/>
          <w:bCs/>
          <w:lang w:val="en-GB"/>
        </w:rPr>
        <w:t>254</w:t>
      </w:r>
    </w:p>
    <w:p w14:paraId="298DAF51" w14:textId="77777777" w:rsidR="00130BDB" w:rsidRPr="00905F79" w:rsidRDefault="00130BDB" w:rsidP="00905F79">
      <w:pPr>
        <w:spacing w:after="200" w:line="276" w:lineRule="auto"/>
        <w:rPr>
          <w:rFonts w:ascii="Arial" w:eastAsia="Calibri" w:hAnsi="Arial" w:cs="Arial"/>
          <w:b/>
          <w:bCs/>
          <w:lang w:val="en-GB"/>
        </w:rPr>
      </w:pPr>
      <w:r w:rsidRPr="00905F79">
        <w:rPr>
          <w:rFonts w:ascii="Arial" w:eastAsia="Calibri" w:hAnsi="Arial" w:cs="Arial"/>
          <w:b/>
          <w:bCs/>
          <w:lang w:val="en-GB"/>
        </w:rPr>
        <w:t xml:space="preserve">DATE OF </w:t>
      </w:r>
      <w:r w:rsidR="00905F79" w:rsidRPr="00905F79">
        <w:rPr>
          <w:rFonts w:ascii="Arial" w:eastAsia="Calibri" w:hAnsi="Arial" w:cs="Arial"/>
          <w:b/>
          <w:bCs/>
          <w:lang w:val="en-GB"/>
        </w:rPr>
        <w:t>QUESTION</w:t>
      </w:r>
      <w:r w:rsidRPr="00905F79">
        <w:rPr>
          <w:rFonts w:ascii="Arial" w:eastAsia="Calibri" w:hAnsi="Arial" w:cs="Arial"/>
          <w:b/>
          <w:bCs/>
          <w:lang w:val="en-GB"/>
        </w:rPr>
        <w:t xml:space="preserve">: </w:t>
      </w:r>
      <w:r w:rsidR="00CC235A" w:rsidRPr="00905F79">
        <w:rPr>
          <w:rFonts w:ascii="Arial" w:eastAsia="Calibri" w:hAnsi="Arial" w:cs="Arial"/>
          <w:b/>
          <w:bCs/>
          <w:lang w:val="en-GB"/>
        </w:rPr>
        <w:t>31</w:t>
      </w:r>
      <w:r w:rsidR="00905F79" w:rsidRPr="00905F79">
        <w:rPr>
          <w:rFonts w:ascii="Arial" w:eastAsia="Calibri" w:hAnsi="Arial" w:cs="Arial"/>
          <w:b/>
          <w:bCs/>
          <w:lang w:val="en-GB"/>
        </w:rPr>
        <w:t xml:space="preserve"> MARCH </w:t>
      </w:r>
      <w:r w:rsidRPr="00905F79">
        <w:rPr>
          <w:rFonts w:ascii="Arial" w:eastAsia="Calibri" w:hAnsi="Arial" w:cs="Arial"/>
          <w:b/>
          <w:bCs/>
          <w:lang w:val="en-GB"/>
        </w:rPr>
        <w:t>20</w:t>
      </w:r>
      <w:r w:rsidR="003F2E8D" w:rsidRPr="00905F79">
        <w:rPr>
          <w:rFonts w:ascii="Arial" w:eastAsia="Calibri" w:hAnsi="Arial" w:cs="Arial"/>
          <w:b/>
          <w:bCs/>
          <w:lang w:val="en-GB"/>
        </w:rPr>
        <w:t>2</w:t>
      </w:r>
      <w:r w:rsidR="0089351C" w:rsidRPr="00905F79">
        <w:rPr>
          <w:rFonts w:ascii="Arial" w:eastAsia="Calibri" w:hAnsi="Arial" w:cs="Arial"/>
          <w:b/>
          <w:bCs/>
          <w:lang w:val="en-GB"/>
        </w:rPr>
        <w:t>3</w:t>
      </w:r>
    </w:p>
    <w:p w14:paraId="3B8B7D15" w14:textId="77777777" w:rsidR="00905F79" w:rsidRPr="00905F79" w:rsidRDefault="00905F79" w:rsidP="00905F79">
      <w:pPr>
        <w:spacing w:after="200" w:line="276" w:lineRule="auto"/>
        <w:rPr>
          <w:rFonts w:ascii="Arial" w:eastAsia="Calibri" w:hAnsi="Arial" w:cs="Arial"/>
          <w:b/>
          <w:bCs/>
          <w:lang w:val="en-GB"/>
        </w:rPr>
      </w:pPr>
      <w:r w:rsidRPr="00905F79">
        <w:rPr>
          <w:rFonts w:ascii="Arial" w:eastAsia="Calibri" w:hAnsi="Arial" w:cs="Arial"/>
          <w:b/>
          <w:bCs/>
          <w:lang w:val="en-GB"/>
        </w:rPr>
        <w:t>DATE OF SUBMISSION: 14 APRIL 2023</w:t>
      </w:r>
    </w:p>
    <w:p w14:paraId="714A737B" w14:textId="77777777" w:rsidR="00631F68" w:rsidRPr="00631F68" w:rsidRDefault="00631F68" w:rsidP="009527B5">
      <w:pPr>
        <w:spacing w:before="120" w:after="120" w:line="360" w:lineRule="auto"/>
        <w:jc w:val="both"/>
        <w:rPr>
          <w:rFonts w:ascii="Arial" w:hAnsi="Arial" w:cs="Arial"/>
          <w:b/>
          <w:lang w:val="en-ZA"/>
        </w:rPr>
      </w:pPr>
      <w:r w:rsidRPr="00631F68">
        <w:rPr>
          <w:rFonts w:ascii="Arial" w:hAnsi="Arial" w:cs="Arial"/>
          <w:b/>
          <w:lang w:val="en-ZA"/>
        </w:rPr>
        <w:t xml:space="preserve">Adv G Breytenbach (DA) to ask the Minister of Justice and Correctional Services: </w:t>
      </w:r>
    </w:p>
    <w:p w14:paraId="503D2241" w14:textId="77777777" w:rsidR="00631F68" w:rsidRPr="00631F68" w:rsidRDefault="00631F68" w:rsidP="009527B5">
      <w:pPr>
        <w:spacing w:before="120" w:after="120" w:line="360" w:lineRule="auto"/>
        <w:jc w:val="both"/>
        <w:rPr>
          <w:rFonts w:ascii="Arial" w:hAnsi="Arial" w:cs="Arial"/>
          <w:lang w:val="en-ZA"/>
        </w:rPr>
      </w:pPr>
      <w:r w:rsidRPr="00631F68">
        <w:rPr>
          <w:rFonts w:ascii="Arial" w:hAnsi="Arial" w:cs="Arial"/>
          <w:lang w:val="en-ZA"/>
        </w:rPr>
        <w:t>What (a) total number of reported cases of rape were (i) heard in courts in the (aa) 2018-19, (bb) 2019-20, (cc) 2020-21 and (dd) 2021-22 financial years and (ii) successfully prosecuted in each financial year and (b) were the primary reasons for each unsuccessful prosecution of each reported rape case in each financial year?</w:t>
      </w:r>
    </w:p>
    <w:p w14:paraId="5457F918" w14:textId="77777777" w:rsidR="00631F68" w:rsidRDefault="00631F68" w:rsidP="00631F68">
      <w:pPr>
        <w:spacing w:before="120" w:after="120" w:line="360" w:lineRule="auto"/>
        <w:jc w:val="right"/>
      </w:pPr>
      <w:r w:rsidRPr="00631F68">
        <w:rPr>
          <w:rFonts w:ascii="Arial" w:hAnsi="Arial" w:cs="Arial"/>
          <w:b/>
          <w:lang w:val="en-ZA"/>
        </w:rPr>
        <w:t>NW1395E</w:t>
      </w:r>
    </w:p>
    <w:p w14:paraId="4DFBF39F" w14:textId="77777777" w:rsidR="00631F68" w:rsidRDefault="00631F68" w:rsidP="009527B5">
      <w:pPr>
        <w:spacing w:before="120" w:after="120" w:line="360" w:lineRule="auto"/>
        <w:jc w:val="both"/>
      </w:pPr>
    </w:p>
    <w:p w14:paraId="55BDF5CC" w14:textId="77777777" w:rsidR="00983C6B" w:rsidRDefault="00983C6B" w:rsidP="00A320E7">
      <w:pPr>
        <w:spacing w:line="360" w:lineRule="auto"/>
        <w:jc w:val="both"/>
        <w:rPr>
          <w:rFonts w:ascii="Arial" w:hAnsi="Arial" w:cs="Arial"/>
          <w:b/>
        </w:rPr>
      </w:pPr>
      <w:r>
        <w:rPr>
          <w:rFonts w:ascii="Arial" w:hAnsi="Arial" w:cs="Arial"/>
          <w:b/>
        </w:rPr>
        <w:br w:type="page"/>
      </w:r>
      <w:r w:rsidR="0007655F">
        <w:rPr>
          <w:rFonts w:ascii="Arial" w:hAnsi="Arial" w:cs="Arial"/>
          <w:b/>
        </w:rPr>
        <w:lastRenderedPageBreak/>
        <w:t>REPLY:</w:t>
      </w:r>
    </w:p>
    <w:p w14:paraId="738B878C" w14:textId="77777777" w:rsidR="00A320E7" w:rsidRPr="000D5A5B" w:rsidRDefault="00A320E7" w:rsidP="00A320E7">
      <w:pPr>
        <w:spacing w:line="360" w:lineRule="auto"/>
        <w:jc w:val="both"/>
        <w:rPr>
          <w:rFonts w:ascii="Arial" w:hAnsi="Arial" w:cs="Arial"/>
          <w:b/>
          <w:bCs/>
          <w:lang w:val="en-ZA"/>
        </w:rPr>
      </w:pPr>
    </w:p>
    <w:p w14:paraId="4ADBEA0A" w14:textId="77777777" w:rsidR="00A320E7" w:rsidRDefault="00BD7DCD" w:rsidP="00BD7DCD">
      <w:pPr>
        <w:numPr>
          <w:ilvl w:val="0"/>
          <w:numId w:val="8"/>
        </w:numPr>
        <w:spacing w:line="360" w:lineRule="auto"/>
        <w:jc w:val="both"/>
        <w:rPr>
          <w:rFonts w:ascii="Arial" w:hAnsi="Arial" w:cs="Arial"/>
          <w:lang w:val="en-ZA"/>
        </w:rPr>
      </w:pPr>
      <w:r>
        <w:rPr>
          <w:rFonts w:ascii="Arial" w:hAnsi="Arial" w:cs="Arial"/>
          <w:lang w:val="en-ZA"/>
        </w:rPr>
        <w:t xml:space="preserve">(i) </w:t>
      </w:r>
      <w:r w:rsidR="00A320E7">
        <w:rPr>
          <w:rFonts w:ascii="Arial" w:hAnsi="Arial" w:cs="Arial"/>
          <w:lang w:val="en-ZA"/>
        </w:rPr>
        <w:t>The records of the Department of Justice and Constitutional Development reflects that the following number of rape cases were heard in courts during the financial years requested:</w:t>
      </w:r>
    </w:p>
    <w:p w14:paraId="71AE55ED" w14:textId="77777777" w:rsidR="00A320E7" w:rsidRDefault="00A320E7" w:rsidP="00A320E7">
      <w:pPr>
        <w:spacing w:line="360" w:lineRule="auto"/>
        <w:ind w:left="360"/>
        <w:jc w:val="both"/>
        <w:rPr>
          <w:rFonts w:ascii="Arial" w:hAnsi="Arial" w:cs="Arial"/>
          <w:lang w:val="en-Z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607"/>
      </w:tblGrid>
      <w:tr w:rsidR="00A320E7" w:rsidRPr="009A1AC5" w14:paraId="62B75DF5" w14:textId="77777777" w:rsidTr="009A1AC5">
        <w:tc>
          <w:tcPr>
            <w:tcW w:w="4788" w:type="dxa"/>
            <w:shd w:val="clear" w:color="auto" w:fill="auto"/>
          </w:tcPr>
          <w:p w14:paraId="48234C33" w14:textId="77777777" w:rsidR="00A320E7" w:rsidRPr="009A1AC5" w:rsidRDefault="00A320E7" w:rsidP="009A1AC5">
            <w:pPr>
              <w:spacing w:line="360" w:lineRule="auto"/>
              <w:jc w:val="center"/>
              <w:rPr>
                <w:rFonts w:ascii="Arial" w:hAnsi="Arial" w:cs="Arial"/>
                <w:b/>
                <w:bCs/>
                <w:lang w:val="en-ZA"/>
              </w:rPr>
            </w:pPr>
            <w:r w:rsidRPr="009A1AC5">
              <w:rPr>
                <w:rFonts w:ascii="Arial" w:hAnsi="Arial" w:cs="Arial"/>
                <w:b/>
                <w:bCs/>
                <w:lang w:val="en-ZA"/>
              </w:rPr>
              <w:t>FINANCIAL YEAR</w:t>
            </w:r>
          </w:p>
        </w:tc>
        <w:tc>
          <w:tcPr>
            <w:tcW w:w="4788" w:type="dxa"/>
            <w:shd w:val="clear" w:color="auto" w:fill="auto"/>
          </w:tcPr>
          <w:p w14:paraId="0D2F17F9" w14:textId="77777777" w:rsidR="00A320E7" w:rsidRPr="009A1AC5" w:rsidRDefault="00A320E7" w:rsidP="009A1AC5">
            <w:pPr>
              <w:spacing w:line="360" w:lineRule="auto"/>
              <w:jc w:val="center"/>
              <w:rPr>
                <w:rFonts w:ascii="Arial" w:hAnsi="Arial" w:cs="Arial"/>
                <w:b/>
                <w:bCs/>
                <w:lang w:val="en-ZA"/>
              </w:rPr>
            </w:pPr>
            <w:r w:rsidRPr="009A1AC5">
              <w:rPr>
                <w:rFonts w:ascii="Arial" w:hAnsi="Arial" w:cs="Arial"/>
                <w:b/>
                <w:bCs/>
                <w:lang w:val="en-ZA"/>
              </w:rPr>
              <w:t>REGIONAL COURT</w:t>
            </w:r>
          </w:p>
        </w:tc>
      </w:tr>
      <w:tr w:rsidR="00A320E7" w:rsidRPr="009A1AC5" w14:paraId="4E09BBA2" w14:textId="77777777" w:rsidTr="009A1AC5">
        <w:tc>
          <w:tcPr>
            <w:tcW w:w="4788" w:type="dxa"/>
            <w:shd w:val="clear" w:color="auto" w:fill="auto"/>
          </w:tcPr>
          <w:p w14:paraId="2F9C6A2E" w14:textId="77777777" w:rsidR="00A320E7" w:rsidRPr="009A1AC5" w:rsidRDefault="00A320E7" w:rsidP="009A1AC5">
            <w:pPr>
              <w:spacing w:line="360" w:lineRule="auto"/>
              <w:jc w:val="both"/>
              <w:rPr>
                <w:rFonts w:ascii="Arial" w:hAnsi="Arial" w:cs="Arial"/>
                <w:lang w:val="en-ZA"/>
              </w:rPr>
            </w:pPr>
            <w:r w:rsidRPr="009A1AC5">
              <w:rPr>
                <w:rFonts w:ascii="Arial" w:hAnsi="Arial" w:cs="Arial"/>
                <w:lang w:val="en-ZA"/>
              </w:rPr>
              <w:t>2018/2019</w:t>
            </w:r>
          </w:p>
        </w:tc>
        <w:tc>
          <w:tcPr>
            <w:tcW w:w="4788" w:type="dxa"/>
            <w:shd w:val="clear" w:color="auto" w:fill="auto"/>
          </w:tcPr>
          <w:p w14:paraId="1EA228F3" w14:textId="77777777" w:rsidR="00A320E7" w:rsidRPr="009A1AC5" w:rsidRDefault="00A320E7" w:rsidP="00DD6B8E">
            <w:pPr>
              <w:spacing w:line="360" w:lineRule="auto"/>
              <w:jc w:val="center"/>
              <w:rPr>
                <w:rFonts w:ascii="Arial" w:hAnsi="Arial" w:cs="Arial"/>
                <w:lang w:val="en-ZA"/>
              </w:rPr>
            </w:pPr>
            <w:r w:rsidRPr="009A1AC5">
              <w:rPr>
                <w:rFonts w:ascii="Arial" w:hAnsi="Arial" w:cs="Arial"/>
                <w:lang w:val="en-ZA"/>
              </w:rPr>
              <w:t>5 720</w:t>
            </w:r>
          </w:p>
        </w:tc>
      </w:tr>
      <w:tr w:rsidR="00A320E7" w:rsidRPr="009A1AC5" w14:paraId="52FABB94" w14:textId="77777777" w:rsidTr="009A1AC5">
        <w:tc>
          <w:tcPr>
            <w:tcW w:w="4788" w:type="dxa"/>
            <w:shd w:val="clear" w:color="auto" w:fill="auto"/>
          </w:tcPr>
          <w:p w14:paraId="66700905" w14:textId="77777777" w:rsidR="00A320E7" w:rsidRPr="009A1AC5" w:rsidRDefault="00A320E7" w:rsidP="009A1AC5">
            <w:pPr>
              <w:spacing w:line="360" w:lineRule="auto"/>
              <w:jc w:val="both"/>
              <w:rPr>
                <w:rFonts w:ascii="Arial" w:hAnsi="Arial" w:cs="Arial"/>
                <w:lang w:val="en-ZA"/>
              </w:rPr>
            </w:pPr>
            <w:r w:rsidRPr="009A1AC5">
              <w:rPr>
                <w:rFonts w:ascii="Arial" w:hAnsi="Arial" w:cs="Arial"/>
                <w:lang w:val="en-ZA"/>
              </w:rPr>
              <w:t>2019/2020</w:t>
            </w:r>
          </w:p>
        </w:tc>
        <w:tc>
          <w:tcPr>
            <w:tcW w:w="4788" w:type="dxa"/>
            <w:shd w:val="clear" w:color="auto" w:fill="auto"/>
          </w:tcPr>
          <w:p w14:paraId="7316F67B" w14:textId="77777777" w:rsidR="00A320E7" w:rsidRPr="009A1AC5" w:rsidRDefault="00BD7DCD" w:rsidP="00DD6B8E">
            <w:pPr>
              <w:spacing w:line="360" w:lineRule="auto"/>
              <w:jc w:val="center"/>
              <w:rPr>
                <w:rFonts w:ascii="Arial" w:hAnsi="Arial" w:cs="Arial"/>
                <w:lang w:val="en-ZA"/>
              </w:rPr>
            </w:pPr>
            <w:r w:rsidRPr="009A1AC5">
              <w:rPr>
                <w:rFonts w:ascii="Arial" w:hAnsi="Arial" w:cs="Arial"/>
                <w:lang w:val="en-ZA"/>
              </w:rPr>
              <w:t>5 616</w:t>
            </w:r>
          </w:p>
        </w:tc>
      </w:tr>
      <w:tr w:rsidR="00A320E7" w:rsidRPr="009A1AC5" w14:paraId="6E613558" w14:textId="77777777" w:rsidTr="009A1AC5">
        <w:tc>
          <w:tcPr>
            <w:tcW w:w="4788" w:type="dxa"/>
            <w:shd w:val="clear" w:color="auto" w:fill="auto"/>
          </w:tcPr>
          <w:p w14:paraId="77FAF002" w14:textId="77777777" w:rsidR="00A320E7" w:rsidRPr="009A1AC5" w:rsidRDefault="00A320E7" w:rsidP="009A1AC5">
            <w:pPr>
              <w:spacing w:line="360" w:lineRule="auto"/>
              <w:jc w:val="both"/>
              <w:rPr>
                <w:rFonts w:ascii="Arial" w:hAnsi="Arial" w:cs="Arial"/>
                <w:lang w:val="en-ZA"/>
              </w:rPr>
            </w:pPr>
            <w:r w:rsidRPr="009A1AC5">
              <w:rPr>
                <w:rFonts w:ascii="Arial" w:hAnsi="Arial" w:cs="Arial"/>
                <w:lang w:val="en-ZA"/>
              </w:rPr>
              <w:t>2020/2021</w:t>
            </w:r>
          </w:p>
        </w:tc>
        <w:tc>
          <w:tcPr>
            <w:tcW w:w="4788" w:type="dxa"/>
            <w:shd w:val="clear" w:color="auto" w:fill="auto"/>
          </w:tcPr>
          <w:p w14:paraId="70D6755C" w14:textId="77777777" w:rsidR="00A320E7" w:rsidRPr="009A1AC5" w:rsidRDefault="00BD7DCD" w:rsidP="00DD6B8E">
            <w:pPr>
              <w:spacing w:line="360" w:lineRule="auto"/>
              <w:jc w:val="center"/>
              <w:rPr>
                <w:rFonts w:ascii="Arial" w:hAnsi="Arial" w:cs="Arial"/>
                <w:lang w:val="en-ZA"/>
              </w:rPr>
            </w:pPr>
            <w:r w:rsidRPr="009A1AC5">
              <w:rPr>
                <w:rFonts w:ascii="Arial" w:hAnsi="Arial" w:cs="Arial"/>
                <w:lang w:val="en-ZA"/>
              </w:rPr>
              <w:t>3 863</w:t>
            </w:r>
          </w:p>
        </w:tc>
      </w:tr>
      <w:tr w:rsidR="00A320E7" w:rsidRPr="009A1AC5" w14:paraId="47E100E7" w14:textId="77777777" w:rsidTr="009A1AC5">
        <w:tc>
          <w:tcPr>
            <w:tcW w:w="4788" w:type="dxa"/>
            <w:shd w:val="clear" w:color="auto" w:fill="auto"/>
          </w:tcPr>
          <w:p w14:paraId="2248529A" w14:textId="77777777" w:rsidR="00A320E7" w:rsidRPr="009A1AC5" w:rsidRDefault="00A320E7" w:rsidP="009A1AC5">
            <w:pPr>
              <w:spacing w:line="360" w:lineRule="auto"/>
              <w:jc w:val="both"/>
              <w:rPr>
                <w:rFonts w:ascii="Arial" w:hAnsi="Arial" w:cs="Arial"/>
                <w:lang w:val="en-ZA"/>
              </w:rPr>
            </w:pPr>
            <w:r w:rsidRPr="009A1AC5">
              <w:rPr>
                <w:rFonts w:ascii="Arial" w:hAnsi="Arial" w:cs="Arial"/>
                <w:lang w:val="en-ZA"/>
              </w:rPr>
              <w:t>2021/2022</w:t>
            </w:r>
          </w:p>
        </w:tc>
        <w:tc>
          <w:tcPr>
            <w:tcW w:w="4788" w:type="dxa"/>
            <w:shd w:val="clear" w:color="auto" w:fill="auto"/>
          </w:tcPr>
          <w:p w14:paraId="4B95AB7F" w14:textId="77777777" w:rsidR="00A320E7" w:rsidRPr="009A1AC5" w:rsidRDefault="00BD7DCD" w:rsidP="00DD6B8E">
            <w:pPr>
              <w:spacing w:line="360" w:lineRule="auto"/>
              <w:jc w:val="center"/>
              <w:rPr>
                <w:rFonts w:ascii="Arial" w:hAnsi="Arial" w:cs="Arial"/>
                <w:lang w:val="en-ZA"/>
              </w:rPr>
            </w:pPr>
            <w:r w:rsidRPr="009A1AC5">
              <w:rPr>
                <w:rFonts w:ascii="Arial" w:hAnsi="Arial" w:cs="Arial"/>
                <w:lang w:val="en-ZA"/>
              </w:rPr>
              <w:t>3 640</w:t>
            </w:r>
          </w:p>
        </w:tc>
      </w:tr>
    </w:tbl>
    <w:p w14:paraId="1DEC68A0" w14:textId="77777777" w:rsidR="00A320E7" w:rsidRDefault="00A320E7" w:rsidP="00A320E7">
      <w:pPr>
        <w:spacing w:line="360" w:lineRule="auto"/>
        <w:ind w:left="360"/>
        <w:jc w:val="both"/>
        <w:rPr>
          <w:rFonts w:ascii="Arial" w:hAnsi="Arial" w:cs="Arial"/>
          <w:lang w:val="en-ZA"/>
        </w:rPr>
      </w:pPr>
    </w:p>
    <w:p w14:paraId="11767947" w14:textId="77777777" w:rsidR="00F77DB4" w:rsidRDefault="00BD7DCD" w:rsidP="00F77DB4">
      <w:pPr>
        <w:spacing w:line="360" w:lineRule="auto"/>
        <w:ind w:left="360"/>
        <w:jc w:val="both"/>
        <w:rPr>
          <w:rFonts w:ascii="Arial" w:hAnsi="Arial" w:cs="Arial"/>
          <w:bCs/>
        </w:rPr>
      </w:pPr>
      <w:r>
        <w:rPr>
          <w:rFonts w:ascii="Arial" w:hAnsi="Arial" w:cs="Arial"/>
          <w:bCs/>
        </w:rPr>
        <w:t xml:space="preserve">(ii) </w:t>
      </w:r>
      <w:r w:rsidR="0076775E" w:rsidRPr="0076775E">
        <w:rPr>
          <w:rFonts w:ascii="Arial" w:hAnsi="Arial" w:cs="Arial"/>
          <w:bCs/>
        </w:rPr>
        <w:t>The National Prosecuting Authority</w:t>
      </w:r>
      <w:r w:rsidR="000D7B82">
        <w:rPr>
          <w:rFonts w:ascii="Arial" w:hAnsi="Arial" w:cs="Arial"/>
          <w:bCs/>
        </w:rPr>
        <w:t xml:space="preserve"> (NPA)</w:t>
      </w:r>
      <w:r w:rsidR="0076775E" w:rsidRPr="0076775E">
        <w:rPr>
          <w:rFonts w:ascii="Arial" w:hAnsi="Arial" w:cs="Arial"/>
          <w:bCs/>
        </w:rPr>
        <w:t xml:space="preserve"> extract</w:t>
      </w:r>
      <w:r w:rsidR="00701F13">
        <w:rPr>
          <w:rFonts w:ascii="Arial" w:hAnsi="Arial" w:cs="Arial"/>
          <w:bCs/>
        </w:rPr>
        <w:t>ed</w:t>
      </w:r>
      <w:r w:rsidR="0076775E" w:rsidRPr="0076775E">
        <w:rPr>
          <w:rFonts w:ascii="Arial" w:hAnsi="Arial" w:cs="Arial"/>
          <w:bCs/>
        </w:rPr>
        <w:t xml:space="preserve"> information from the </w:t>
      </w:r>
    </w:p>
    <w:p w14:paraId="09174049" w14:textId="77777777" w:rsidR="00983C6B" w:rsidRDefault="0076775E" w:rsidP="00F77DB4">
      <w:pPr>
        <w:spacing w:line="360" w:lineRule="auto"/>
        <w:ind w:left="360" w:firstLine="360"/>
        <w:jc w:val="both"/>
        <w:rPr>
          <w:rFonts w:ascii="Arial" w:hAnsi="Arial" w:cs="Arial"/>
          <w:bCs/>
        </w:rPr>
      </w:pPr>
      <w:r w:rsidRPr="0076775E">
        <w:rPr>
          <w:rFonts w:ascii="Arial" w:hAnsi="Arial" w:cs="Arial"/>
          <w:bCs/>
        </w:rPr>
        <w:t>Electronic Case Management System (ECMS)</w:t>
      </w:r>
      <w:r w:rsidR="00701F13">
        <w:rPr>
          <w:rFonts w:ascii="Arial" w:hAnsi="Arial" w:cs="Arial"/>
          <w:bCs/>
        </w:rPr>
        <w:t>.</w:t>
      </w:r>
    </w:p>
    <w:p w14:paraId="5C09D96E" w14:textId="77777777" w:rsidR="0076775E" w:rsidRDefault="0076775E" w:rsidP="00A320E7">
      <w:pPr>
        <w:spacing w:line="360" w:lineRule="auto"/>
        <w:jc w:val="both"/>
        <w:rPr>
          <w:rFonts w:ascii="Arial" w:hAnsi="Arial" w:cs="Arial"/>
          <w:bCs/>
        </w:rPr>
      </w:pPr>
    </w:p>
    <w:p w14:paraId="00E7318C" w14:textId="77777777" w:rsidR="0076775E" w:rsidRDefault="00701F13" w:rsidP="00F77DB4">
      <w:pPr>
        <w:spacing w:line="360" w:lineRule="auto"/>
        <w:ind w:left="720"/>
        <w:jc w:val="both"/>
        <w:rPr>
          <w:rFonts w:ascii="Arial" w:hAnsi="Arial" w:cs="Arial"/>
          <w:bCs/>
        </w:rPr>
      </w:pPr>
      <w:r>
        <w:rPr>
          <w:rFonts w:ascii="Arial" w:hAnsi="Arial" w:cs="Arial"/>
          <w:bCs/>
        </w:rPr>
        <w:t>A</w:t>
      </w:r>
      <w:r w:rsidR="008B422A">
        <w:rPr>
          <w:rFonts w:ascii="Arial" w:hAnsi="Arial" w:cs="Arial"/>
          <w:bCs/>
        </w:rPr>
        <w:t>s</w:t>
      </w:r>
      <w:r>
        <w:rPr>
          <w:rFonts w:ascii="Arial" w:hAnsi="Arial" w:cs="Arial"/>
          <w:bCs/>
        </w:rPr>
        <w:t xml:space="preserve"> </w:t>
      </w:r>
      <w:proofErr w:type="gramStart"/>
      <w:r>
        <w:rPr>
          <w:rFonts w:ascii="Arial" w:hAnsi="Arial" w:cs="Arial"/>
          <w:bCs/>
        </w:rPr>
        <w:t>at</w:t>
      </w:r>
      <w:proofErr w:type="gramEnd"/>
      <w:r>
        <w:rPr>
          <w:rFonts w:ascii="Arial" w:hAnsi="Arial" w:cs="Arial"/>
          <w:bCs/>
        </w:rPr>
        <w:t xml:space="preserve"> 31 March 2023, the extracted information indicates that t</w:t>
      </w:r>
      <w:r w:rsidR="00CC36B4">
        <w:rPr>
          <w:rFonts w:ascii="Arial" w:hAnsi="Arial" w:cs="Arial"/>
          <w:bCs/>
        </w:rPr>
        <w:t>he number of verdicts for the financial years requested</w:t>
      </w:r>
      <w:r w:rsidR="008B422A">
        <w:rPr>
          <w:rFonts w:ascii="Arial" w:hAnsi="Arial" w:cs="Arial"/>
          <w:bCs/>
        </w:rPr>
        <w:t>,</w:t>
      </w:r>
      <w:r w:rsidR="00CC36B4">
        <w:rPr>
          <w:rFonts w:ascii="Arial" w:hAnsi="Arial" w:cs="Arial"/>
          <w:bCs/>
        </w:rPr>
        <w:t xml:space="preserve"> as well as convictions and acquittals during each of the financial years</w:t>
      </w:r>
      <w:r w:rsidR="008B422A">
        <w:rPr>
          <w:rFonts w:ascii="Arial" w:hAnsi="Arial" w:cs="Arial"/>
          <w:bCs/>
        </w:rPr>
        <w:t>,</w:t>
      </w:r>
      <w:r w:rsidR="00CC36B4">
        <w:rPr>
          <w:rFonts w:ascii="Arial" w:hAnsi="Arial" w:cs="Arial"/>
          <w:bCs/>
        </w:rPr>
        <w:t xml:space="preserve"> </w:t>
      </w:r>
      <w:r w:rsidR="008B422A">
        <w:rPr>
          <w:rFonts w:ascii="Arial" w:hAnsi="Arial" w:cs="Arial"/>
          <w:bCs/>
        </w:rPr>
        <w:t>is</w:t>
      </w:r>
      <w:r w:rsidR="00CC36B4">
        <w:rPr>
          <w:rFonts w:ascii="Arial" w:hAnsi="Arial" w:cs="Arial"/>
          <w:bCs/>
        </w:rPr>
        <w:t xml:space="preserve"> depicted in the Table below:</w:t>
      </w:r>
    </w:p>
    <w:p w14:paraId="40648081" w14:textId="77777777" w:rsidR="00CC36B4" w:rsidRDefault="00CC36B4" w:rsidP="00A320E7">
      <w:pPr>
        <w:spacing w:line="360" w:lineRule="auto"/>
        <w:jc w:val="both"/>
        <w:rPr>
          <w:rFonts w:ascii="Arial" w:hAnsi="Arial" w:cs="Arial"/>
          <w:bCs/>
        </w:rPr>
      </w:pPr>
    </w:p>
    <w:tbl>
      <w:tblPr>
        <w:tblW w:w="9560" w:type="dxa"/>
        <w:tblInd w:w="113" w:type="dxa"/>
        <w:tblLook w:val="04A0" w:firstRow="1" w:lastRow="0" w:firstColumn="1" w:lastColumn="0" w:noHBand="0" w:noVBand="1"/>
      </w:tblPr>
      <w:tblGrid>
        <w:gridCol w:w="1720"/>
        <w:gridCol w:w="2140"/>
        <w:gridCol w:w="1780"/>
        <w:gridCol w:w="2020"/>
        <w:gridCol w:w="1900"/>
      </w:tblGrid>
      <w:tr w:rsidR="00CC36B4" w:rsidRPr="00BD7DCD" w14:paraId="47E3A3D1" w14:textId="77777777" w:rsidTr="00DD6B8E">
        <w:trPr>
          <w:trHeight w:val="990"/>
        </w:trPr>
        <w:tc>
          <w:tcPr>
            <w:tcW w:w="1720" w:type="dxa"/>
            <w:tcBorders>
              <w:top w:val="single" w:sz="4" w:space="0" w:color="8EA9DB"/>
              <w:left w:val="single" w:sz="4" w:space="0" w:color="8EA9DB"/>
              <w:bottom w:val="single" w:sz="4" w:space="0" w:color="auto"/>
              <w:right w:val="single" w:sz="4" w:space="0" w:color="auto"/>
            </w:tcBorders>
            <w:shd w:val="clear" w:color="auto" w:fill="auto"/>
            <w:noWrap/>
            <w:vAlign w:val="center"/>
            <w:hideMark/>
          </w:tcPr>
          <w:p w14:paraId="6AA2BAFD" w14:textId="77777777" w:rsidR="00CC36B4" w:rsidRPr="00BD7DCD" w:rsidRDefault="00DD6B8E" w:rsidP="00A320E7">
            <w:pPr>
              <w:jc w:val="center"/>
              <w:rPr>
                <w:rFonts w:ascii="Arial" w:hAnsi="Arial" w:cs="Arial"/>
                <w:b/>
                <w:bCs/>
                <w:color w:val="000000"/>
              </w:rPr>
            </w:pPr>
            <w:r w:rsidRPr="00BD7DCD">
              <w:rPr>
                <w:rFonts w:ascii="Arial" w:hAnsi="Arial" w:cs="Arial"/>
                <w:b/>
                <w:bCs/>
                <w:color w:val="000000"/>
              </w:rPr>
              <w:t xml:space="preserve">Financial </w:t>
            </w:r>
          </w:p>
          <w:p w14:paraId="7FEC7750" w14:textId="77777777" w:rsidR="00CC36B4" w:rsidRPr="00BD7DCD" w:rsidRDefault="00DD6B8E" w:rsidP="00A320E7">
            <w:pPr>
              <w:jc w:val="center"/>
              <w:rPr>
                <w:rFonts w:ascii="Arial" w:hAnsi="Arial" w:cs="Arial"/>
                <w:b/>
                <w:bCs/>
                <w:color w:val="000000"/>
                <w:lang w:val="en-ZA" w:eastAsia="en-ZA"/>
              </w:rPr>
            </w:pPr>
            <w:r w:rsidRPr="00BD7DCD">
              <w:rPr>
                <w:rFonts w:ascii="Arial" w:hAnsi="Arial" w:cs="Arial"/>
                <w:b/>
                <w:bCs/>
                <w:color w:val="000000"/>
              </w:rPr>
              <w:t>Year</w:t>
            </w:r>
          </w:p>
        </w:tc>
        <w:tc>
          <w:tcPr>
            <w:tcW w:w="2140" w:type="dxa"/>
            <w:tcBorders>
              <w:top w:val="single" w:sz="4" w:space="0" w:color="8EA9DB"/>
              <w:left w:val="single" w:sz="4" w:space="0" w:color="auto"/>
              <w:bottom w:val="single" w:sz="4" w:space="0" w:color="auto"/>
              <w:right w:val="single" w:sz="4" w:space="0" w:color="auto"/>
            </w:tcBorders>
            <w:shd w:val="clear" w:color="auto" w:fill="auto"/>
            <w:vAlign w:val="center"/>
            <w:hideMark/>
          </w:tcPr>
          <w:p w14:paraId="2DAA3E7C" w14:textId="77777777" w:rsidR="00DC55FE" w:rsidRDefault="00DD6B8E" w:rsidP="00A320E7">
            <w:pPr>
              <w:jc w:val="center"/>
              <w:rPr>
                <w:rFonts w:ascii="Arial" w:hAnsi="Arial" w:cs="Arial"/>
                <w:b/>
                <w:bCs/>
                <w:color w:val="000000"/>
              </w:rPr>
            </w:pPr>
            <w:r w:rsidRPr="00BD7DCD">
              <w:rPr>
                <w:rFonts w:ascii="Arial" w:hAnsi="Arial" w:cs="Arial"/>
                <w:b/>
                <w:bCs/>
                <w:color w:val="000000"/>
              </w:rPr>
              <w:t xml:space="preserve">No. </w:t>
            </w:r>
            <w:r>
              <w:rPr>
                <w:rFonts w:ascii="Arial" w:hAnsi="Arial" w:cs="Arial"/>
                <w:b/>
                <w:bCs/>
                <w:color w:val="000000"/>
              </w:rPr>
              <w:t>o</w:t>
            </w:r>
            <w:r w:rsidRPr="00BD7DCD">
              <w:rPr>
                <w:rFonts w:ascii="Arial" w:hAnsi="Arial" w:cs="Arial"/>
                <w:b/>
                <w:bCs/>
                <w:color w:val="000000"/>
              </w:rPr>
              <w:t>f Convictions</w:t>
            </w:r>
            <w:r w:rsidR="00DC55FE">
              <w:rPr>
                <w:rFonts w:ascii="Arial" w:hAnsi="Arial" w:cs="Arial"/>
                <w:b/>
                <w:bCs/>
                <w:color w:val="000000"/>
              </w:rPr>
              <w:t xml:space="preserve"> </w:t>
            </w:r>
          </w:p>
          <w:p w14:paraId="772BEFCA" w14:textId="77777777" w:rsidR="00CC36B4" w:rsidRPr="00BD7DCD" w:rsidRDefault="00DC55FE" w:rsidP="00A320E7">
            <w:pPr>
              <w:jc w:val="center"/>
              <w:rPr>
                <w:rFonts w:ascii="Arial" w:hAnsi="Arial" w:cs="Arial"/>
                <w:b/>
                <w:bCs/>
                <w:color w:val="000000"/>
              </w:rPr>
            </w:pPr>
            <w:r>
              <w:rPr>
                <w:rFonts w:ascii="Arial" w:hAnsi="Arial" w:cs="Arial"/>
                <w:b/>
                <w:bCs/>
                <w:color w:val="000000"/>
              </w:rPr>
              <w:t>(P</w:t>
            </w:r>
            <w:r w:rsidR="00DD6B8E" w:rsidRPr="00BD7DCD">
              <w:rPr>
                <w:rFonts w:ascii="Arial" w:hAnsi="Arial" w:cs="Arial"/>
                <w:b/>
                <w:bCs/>
                <w:color w:val="000000"/>
              </w:rPr>
              <w:t>er Charge</w:t>
            </w:r>
            <w:r>
              <w:rPr>
                <w:rFonts w:ascii="Arial" w:hAnsi="Arial" w:cs="Arial"/>
                <w:b/>
                <w:bCs/>
                <w:color w:val="000000"/>
              </w:rPr>
              <w:t>)</w:t>
            </w:r>
          </w:p>
        </w:tc>
        <w:tc>
          <w:tcPr>
            <w:tcW w:w="1780" w:type="dxa"/>
            <w:tcBorders>
              <w:top w:val="single" w:sz="4" w:space="0" w:color="8EA9DB"/>
              <w:left w:val="single" w:sz="4" w:space="0" w:color="auto"/>
              <w:bottom w:val="single" w:sz="4" w:space="0" w:color="auto"/>
              <w:right w:val="single" w:sz="4" w:space="0" w:color="auto"/>
            </w:tcBorders>
            <w:shd w:val="clear" w:color="auto" w:fill="auto"/>
            <w:vAlign w:val="center"/>
            <w:hideMark/>
          </w:tcPr>
          <w:p w14:paraId="6B9B02EE" w14:textId="77777777" w:rsidR="00DD6B8E" w:rsidRDefault="00DD6B8E" w:rsidP="00A320E7">
            <w:pPr>
              <w:jc w:val="center"/>
              <w:rPr>
                <w:rFonts w:ascii="Arial" w:hAnsi="Arial" w:cs="Arial"/>
                <w:b/>
                <w:bCs/>
                <w:color w:val="000000"/>
              </w:rPr>
            </w:pPr>
            <w:r w:rsidRPr="00BD7DCD">
              <w:rPr>
                <w:rFonts w:ascii="Arial" w:hAnsi="Arial" w:cs="Arial"/>
                <w:b/>
                <w:bCs/>
                <w:color w:val="000000"/>
              </w:rPr>
              <w:t xml:space="preserve">No. </w:t>
            </w:r>
            <w:r>
              <w:rPr>
                <w:rFonts w:ascii="Arial" w:hAnsi="Arial" w:cs="Arial"/>
                <w:b/>
                <w:bCs/>
                <w:color w:val="000000"/>
              </w:rPr>
              <w:t>o</w:t>
            </w:r>
            <w:r w:rsidRPr="00BD7DCD">
              <w:rPr>
                <w:rFonts w:ascii="Arial" w:hAnsi="Arial" w:cs="Arial"/>
                <w:b/>
                <w:bCs/>
                <w:color w:val="000000"/>
              </w:rPr>
              <w:t>f Verdicts</w:t>
            </w:r>
          </w:p>
          <w:p w14:paraId="34CC49B1" w14:textId="77777777" w:rsidR="00CC36B4" w:rsidRPr="00BD7DCD" w:rsidRDefault="00DD6B8E" w:rsidP="00A320E7">
            <w:pPr>
              <w:jc w:val="center"/>
              <w:rPr>
                <w:rFonts w:ascii="Arial" w:hAnsi="Arial" w:cs="Arial"/>
                <w:b/>
                <w:bCs/>
                <w:color w:val="000000"/>
              </w:rPr>
            </w:pPr>
            <w:r>
              <w:rPr>
                <w:rFonts w:ascii="Arial" w:hAnsi="Arial" w:cs="Arial"/>
                <w:b/>
                <w:bCs/>
                <w:color w:val="000000"/>
              </w:rPr>
              <w:t>(P</w:t>
            </w:r>
            <w:r w:rsidRPr="00BD7DCD">
              <w:rPr>
                <w:rFonts w:ascii="Arial" w:hAnsi="Arial" w:cs="Arial"/>
                <w:b/>
                <w:bCs/>
                <w:color w:val="000000"/>
              </w:rPr>
              <w:t>er Case</w:t>
            </w:r>
            <w:r>
              <w:rPr>
                <w:rFonts w:ascii="Arial" w:hAnsi="Arial" w:cs="Arial"/>
                <w:b/>
                <w:bCs/>
                <w:color w:val="000000"/>
              </w:rPr>
              <w:t>)</w:t>
            </w:r>
          </w:p>
        </w:tc>
        <w:tc>
          <w:tcPr>
            <w:tcW w:w="2020" w:type="dxa"/>
            <w:tcBorders>
              <w:top w:val="single" w:sz="4" w:space="0" w:color="8EA9DB"/>
              <w:left w:val="single" w:sz="4" w:space="0" w:color="auto"/>
              <w:bottom w:val="single" w:sz="4" w:space="0" w:color="auto"/>
              <w:right w:val="single" w:sz="4" w:space="0" w:color="auto"/>
            </w:tcBorders>
            <w:shd w:val="clear" w:color="auto" w:fill="auto"/>
            <w:vAlign w:val="center"/>
            <w:hideMark/>
          </w:tcPr>
          <w:p w14:paraId="1C33CE10" w14:textId="77777777" w:rsidR="00CC36B4" w:rsidRPr="00BD7DCD" w:rsidRDefault="00DD6B8E" w:rsidP="00A320E7">
            <w:pPr>
              <w:jc w:val="center"/>
              <w:rPr>
                <w:rFonts w:ascii="Arial" w:hAnsi="Arial" w:cs="Arial"/>
                <w:b/>
                <w:bCs/>
                <w:color w:val="000000"/>
              </w:rPr>
            </w:pPr>
            <w:r w:rsidRPr="00BD7DCD">
              <w:rPr>
                <w:rFonts w:ascii="Arial" w:hAnsi="Arial" w:cs="Arial"/>
                <w:b/>
                <w:bCs/>
                <w:color w:val="000000"/>
              </w:rPr>
              <w:t xml:space="preserve">No. </w:t>
            </w:r>
            <w:r>
              <w:rPr>
                <w:rFonts w:ascii="Arial" w:hAnsi="Arial" w:cs="Arial"/>
                <w:b/>
                <w:bCs/>
                <w:color w:val="000000"/>
              </w:rPr>
              <w:t>o</w:t>
            </w:r>
            <w:r w:rsidRPr="00BD7DCD">
              <w:rPr>
                <w:rFonts w:ascii="Arial" w:hAnsi="Arial" w:cs="Arial"/>
                <w:b/>
                <w:bCs/>
                <w:color w:val="000000"/>
              </w:rPr>
              <w:t>f Convictions (Per Case)</w:t>
            </w:r>
          </w:p>
        </w:tc>
        <w:tc>
          <w:tcPr>
            <w:tcW w:w="1900" w:type="dxa"/>
            <w:tcBorders>
              <w:top w:val="single" w:sz="4" w:space="0" w:color="8EA9DB"/>
              <w:left w:val="single" w:sz="4" w:space="0" w:color="auto"/>
              <w:bottom w:val="single" w:sz="4" w:space="0" w:color="auto"/>
              <w:right w:val="single" w:sz="4" w:space="0" w:color="auto"/>
            </w:tcBorders>
            <w:shd w:val="clear" w:color="auto" w:fill="auto"/>
            <w:vAlign w:val="center"/>
            <w:hideMark/>
          </w:tcPr>
          <w:p w14:paraId="0A750F96" w14:textId="77777777" w:rsidR="00CC36B4" w:rsidRPr="00BD7DCD" w:rsidRDefault="00DD6B8E" w:rsidP="00A320E7">
            <w:pPr>
              <w:jc w:val="center"/>
              <w:rPr>
                <w:rFonts w:ascii="Arial" w:hAnsi="Arial" w:cs="Arial"/>
                <w:b/>
                <w:bCs/>
                <w:color w:val="000000"/>
              </w:rPr>
            </w:pPr>
            <w:r w:rsidRPr="00BD7DCD">
              <w:rPr>
                <w:rFonts w:ascii="Arial" w:hAnsi="Arial" w:cs="Arial"/>
                <w:b/>
                <w:bCs/>
                <w:color w:val="000000"/>
              </w:rPr>
              <w:t xml:space="preserve">No. </w:t>
            </w:r>
            <w:r w:rsidR="00DC55FE">
              <w:rPr>
                <w:rFonts w:ascii="Arial" w:hAnsi="Arial" w:cs="Arial"/>
                <w:b/>
                <w:bCs/>
                <w:color w:val="000000"/>
              </w:rPr>
              <w:t>o</w:t>
            </w:r>
            <w:r w:rsidRPr="00BD7DCD">
              <w:rPr>
                <w:rFonts w:ascii="Arial" w:hAnsi="Arial" w:cs="Arial"/>
                <w:b/>
                <w:bCs/>
                <w:color w:val="000000"/>
              </w:rPr>
              <w:t>f Acquittals (Per Case)</w:t>
            </w:r>
          </w:p>
        </w:tc>
      </w:tr>
      <w:tr w:rsidR="00CC36B4" w:rsidRPr="00BD7DCD" w14:paraId="6834C2C4" w14:textId="77777777" w:rsidTr="00DD6B8E">
        <w:trPr>
          <w:trHeight w:val="315"/>
        </w:trPr>
        <w:tc>
          <w:tcPr>
            <w:tcW w:w="1720" w:type="dxa"/>
            <w:tcBorders>
              <w:top w:val="single" w:sz="4" w:space="0" w:color="8EA9DB"/>
              <w:left w:val="single" w:sz="4" w:space="0" w:color="8EA9DB"/>
              <w:bottom w:val="single" w:sz="4" w:space="0" w:color="8EA9DB"/>
              <w:right w:val="single" w:sz="4" w:space="0" w:color="auto"/>
            </w:tcBorders>
            <w:shd w:val="clear" w:color="D9E1F2" w:fill="D9E1F2"/>
            <w:noWrap/>
            <w:vAlign w:val="bottom"/>
            <w:hideMark/>
          </w:tcPr>
          <w:p w14:paraId="031056DB" w14:textId="77777777" w:rsidR="00CC36B4" w:rsidRPr="00BD7DCD" w:rsidRDefault="00CC36B4" w:rsidP="00A320E7">
            <w:pPr>
              <w:rPr>
                <w:rFonts w:ascii="Arial" w:hAnsi="Arial" w:cs="Arial"/>
                <w:color w:val="000000"/>
              </w:rPr>
            </w:pPr>
            <w:r w:rsidRPr="00BD7DCD">
              <w:rPr>
                <w:rFonts w:ascii="Arial" w:hAnsi="Arial" w:cs="Arial"/>
                <w:color w:val="000000"/>
              </w:rPr>
              <w:t>2018/19</w:t>
            </w:r>
          </w:p>
        </w:tc>
        <w:tc>
          <w:tcPr>
            <w:tcW w:w="2140" w:type="dxa"/>
            <w:tcBorders>
              <w:top w:val="single" w:sz="4" w:space="0" w:color="8EA9DB"/>
              <w:left w:val="single" w:sz="4" w:space="0" w:color="auto"/>
              <w:bottom w:val="single" w:sz="4" w:space="0" w:color="8EA9DB"/>
              <w:right w:val="single" w:sz="4" w:space="0" w:color="auto"/>
            </w:tcBorders>
            <w:shd w:val="clear" w:color="D9E1F2" w:fill="D9E1F2"/>
            <w:noWrap/>
            <w:vAlign w:val="bottom"/>
            <w:hideMark/>
          </w:tcPr>
          <w:p w14:paraId="24E0BF71" w14:textId="77777777" w:rsidR="00CC36B4" w:rsidRPr="00BD7DCD" w:rsidRDefault="00CC36B4" w:rsidP="00BD7DCD">
            <w:pPr>
              <w:jc w:val="center"/>
              <w:rPr>
                <w:rFonts w:ascii="Arial" w:hAnsi="Arial" w:cs="Arial"/>
                <w:color w:val="000000"/>
              </w:rPr>
            </w:pPr>
            <w:r w:rsidRPr="00BD7DCD">
              <w:rPr>
                <w:rFonts w:ascii="Arial" w:hAnsi="Arial" w:cs="Arial"/>
                <w:color w:val="000000"/>
              </w:rPr>
              <w:t>3</w:t>
            </w:r>
            <w:r w:rsidR="000D7B82" w:rsidRPr="00BD7DCD">
              <w:rPr>
                <w:rFonts w:ascii="Arial" w:hAnsi="Arial" w:cs="Arial"/>
                <w:color w:val="000000"/>
              </w:rPr>
              <w:t xml:space="preserve"> </w:t>
            </w:r>
            <w:r w:rsidRPr="00BD7DCD">
              <w:rPr>
                <w:rFonts w:ascii="Arial" w:hAnsi="Arial" w:cs="Arial"/>
                <w:color w:val="000000"/>
              </w:rPr>
              <w:t>055</w:t>
            </w:r>
          </w:p>
        </w:tc>
        <w:tc>
          <w:tcPr>
            <w:tcW w:w="1780" w:type="dxa"/>
            <w:tcBorders>
              <w:top w:val="single" w:sz="4" w:space="0" w:color="8EA9DB"/>
              <w:left w:val="single" w:sz="4" w:space="0" w:color="auto"/>
              <w:bottom w:val="single" w:sz="4" w:space="0" w:color="8EA9DB"/>
              <w:right w:val="single" w:sz="4" w:space="0" w:color="auto"/>
            </w:tcBorders>
            <w:shd w:val="clear" w:color="D9E1F2" w:fill="D9E1F2"/>
            <w:noWrap/>
            <w:vAlign w:val="bottom"/>
            <w:hideMark/>
          </w:tcPr>
          <w:p w14:paraId="5D1D0826" w14:textId="77777777" w:rsidR="00CC36B4" w:rsidRPr="00BD7DCD" w:rsidRDefault="00CC36B4" w:rsidP="00BD7DCD">
            <w:pPr>
              <w:jc w:val="center"/>
              <w:rPr>
                <w:rFonts w:ascii="Arial" w:hAnsi="Arial" w:cs="Arial"/>
                <w:color w:val="000000"/>
              </w:rPr>
            </w:pPr>
            <w:r w:rsidRPr="00BD7DCD">
              <w:rPr>
                <w:rFonts w:ascii="Arial" w:hAnsi="Arial" w:cs="Arial"/>
                <w:color w:val="000000"/>
              </w:rPr>
              <w:t>4</w:t>
            </w:r>
            <w:r w:rsidR="000D7B82" w:rsidRPr="00BD7DCD">
              <w:rPr>
                <w:rFonts w:ascii="Arial" w:hAnsi="Arial" w:cs="Arial"/>
                <w:color w:val="000000"/>
              </w:rPr>
              <w:t xml:space="preserve"> </w:t>
            </w:r>
            <w:r w:rsidRPr="00BD7DCD">
              <w:rPr>
                <w:rFonts w:ascii="Arial" w:hAnsi="Arial" w:cs="Arial"/>
                <w:color w:val="000000"/>
              </w:rPr>
              <w:t>215</w:t>
            </w:r>
          </w:p>
        </w:tc>
        <w:tc>
          <w:tcPr>
            <w:tcW w:w="2020" w:type="dxa"/>
            <w:tcBorders>
              <w:top w:val="single" w:sz="4" w:space="0" w:color="8EA9DB"/>
              <w:left w:val="single" w:sz="4" w:space="0" w:color="auto"/>
              <w:bottom w:val="single" w:sz="4" w:space="0" w:color="8EA9DB"/>
              <w:right w:val="single" w:sz="4" w:space="0" w:color="auto"/>
            </w:tcBorders>
            <w:shd w:val="clear" w:color="D9E1F2" w:fill="D9E1F2"/>
            <w:noWrap/>
            <w:vAlign w:val="bottom"/>
            <w:hideMark/>
          </w:tcPr>
          <w:p w14:paraId="3DCE9031" w14:textId="77777777" w:rsidR="00CC36B4" w:rsidRPr="00BD7DCD" w:rsidRDefault="00CC36B4" w:rsidP="00BD7DCD">
            <w:pPr>
              <w:jc w:val="center"/>
              <w:rPr>
                <w:rFonts w:ascii="Arial" w:hAnsi="Arial" w:cs="Arial"/>
                <w:color w:val="000000"/>
              </w:rPr>
            </w:pPr>
            <w:r w:rsidRPr="00BD7DCD">
              <w:rPr>
                <w:rFonts w:ascii="Arial" w:hAnsi="Arial" w:cs="Arial"/>
                <w:color w:val="000000"/>
              </w:rPr>
              <w:t>2</w:t>
            </w:r>
            <w:r w:rsidR="000D7B82" w:rsidRPr="00BD7DCD">
              <w:rPr>
                <w:rFonts w:ascii="Arial" w:hAnsi="Arial" w:cs="Arial"/>
                <w:color w:val="000000"/>
              </w:rPr>
              <w:t xml:space="preserve"> </w:t>
            </w:r>
            <w:r w:rsidRPr="00BD7DCD">
              <w:rPr>
                <w:rFonts w:ascii="Arial" w:hAnsi="Arial" w:cs="Arial"/>
                <w:color w:val="000000"/>
              </w:rPr>
              <w:t>820</w:t>
            </w:r>
          </w:p>
        </w:tc>
        <w:tc>
          <w:tcPr>
            <w:tcW w:w="1900" w:type="dxa"/>
            <w:tcBorders>
              <w:top w:val="single" w:sz="4" w:space="0" w:color="8EA9DB"/>
              <w:left w:val="single" w:sz="4" w:space="0" w:color="auto"/>
              <w:bottom w:val="single" w:sz="4" w:space="0" w:color="8EA9DB"/>
              <w:right w:val="single" w:sz="4" w:space="0" w:color="auto"/>
            </w:tcBorders>
            <w:shd w:val="clear" w:color="D9E1F2" w:fill="D9E1F2"/>
            <w:noWrap/>
            <w:vAlign w:val="bottom"/>
            <w:hideMark/>
          </w:tcPr>
          <w:p w14:paraId="387E8157" w14:textId="77777777" w:rsidR="00CC36B4" w:rsidRPr="00BD7DCD" w:rsidRDefault="00CC36B4" w:rsidP="00BD7DCD">
            <w:pPr>
              <w:jc w:val="center"/>
              <w:rPr>
                <w:rFonts w:ascii="Arial" w:hAnsi="Arial" w:cs="Arial"/>
                <w:color w:val="000000"/>
              </w:rPr>
            </w:pPr>
            <w:r w:rsidRPr="00BD7DCD">
              <w:rPr>
                <w:rFonts w:ascii="Arial" w:hAnsi="Arial" w:cs="Arial"/>
                <w:color w:val="000000"/>
              </w:rPr>
              <w:t>1</w:t>
            </w:r>
            <w:r w:rsidR="000D7B82" w:rsidRPr="00BD7DCD">
              <w:rPr>
                <w:rFonts w:ascii="Arial" w:hAnsi="Arial" w:cs="Arial"/>
                <w:color w:val="000000"/>
              </w:rPr>
              <w:t xml:space="preserve"> </w:t>
            </w:r>
            <w:r w:rsidRPr="00BD7DCD">
              <w:rPr>
                <w:rFonts w:ascii="Arial" w:hAnsi="Arial" w:cs="Arial"/>
                <w:color w:val="000000"/>
              </w:rPr>
              <w:t>395</w:t>
            </w:r>
          </w:p>
        </w:tc>
      </w:tr>
      <w:tr w:rsidR="00CC36B4" w:rsidRPr="00BD7DCD" w14:paraId="701977E8" w14:textId="77777777" w:rsidTr="00DD6B8E">
        <w:trPr>
          <w:trHeight w:val="315"/>
        </w:trPr>
        <w:tc>
          <w:tcPr>
            <w:tcW w:w="1720" w:type="dxa"/>
            <w:tcBorders>
              <w:top w:val="single" w:sz="4" w:space="0" w:color="8EA9DB"/>
              <w:left w:val="single" w:sz="4" w:space="0" w:color="8EA9DB"/>
              <w:bottom w:val="single" w:sz="4" w:space="0" w:color="8EA9DB"/>
              <w:right w:val="single" w:sz="4" w:space="0" w:color="auto"/>
            </w:tcBorders>
            <w:shd w:val="clear" w:color="auto" w:fill="auto"/>
            <w:noWrap/>
            <w:vAlign w:val="bottom"/>
            <w:hideMark/>
          </w:tcPr>
          <w:p w14:paraId="4B20C314" w14:textId="77777777" w:rsidR="00CC36B4" w:rsidRPr="00BD7DCD" w:rsidRDefault="00CC36B4" w:rsidP="00A320E7">
            <w:pPr>
              <w:rPr>
                <w:rFonts w:ascii="Arial" w:hAnsi="Arial" w:cs="Arial"/>
                <w:color w:val="000000"/>
              </w:rPr>
            </w:pPr>
            <w:r w:rsidRPr="00BD7DCD">
              <w:rPr>
                <w:rFonts w:ascii="Arial" w:hAnsi="Arial" w:cs="Arial"/>
                <w:color w:val="000000"/>
              </w:rPr>
              <w:t>2019/20</w:t>
            </w:r>
          </w:p>
        </w:tc>
        <w:tc>
          <w:tcPr>
            <w:tcW w:w="2140" w:type="dxa"/>
            <w:tcBorders>
              <w:top w:val="single" w:sz="4" w:space="0" w:color="8EA9DB"/>
              <w:left w:val="single" w:sz="4" w:space="0" w:color="auto"/>
              <w:bottom w:val="single" w:sz="4" w:space="0" w:color="8EA9DB"/>
              <w:right w:val="single" w:sz="4" w:space="0" w:color="auto"/>
            </w:tcBorders>
            <w:shd w:val="clear" w:color="auto" w:fill="auto"/>
            <w:noWrap/>
            <w:vAlign w:val="bottom"/>
            <w:hideMark/>
          </w:tcPr>
          <w:p w14:paraId="42E8A2FE" w14:textId="77777777" w:rsidR="00CC36B4" w:rsidRPr="00BD7DCD" w:rsidRDefault="00CC36B4" w:rsidP="00BD7DCD">
            <w:pPr>
              <w:jc w:val="center"/>
              <w:rPr>
                <w:rFonts w:ascii="Arial" w:hAnsi="Arial" w:cs="Arial"/>
                <w:color w:val="000000"/>
              </w:rPr>
            </w:pPr>
            <w:r w:rsidRPr="00BD7DCD">
              <w:rPr>
                <w:rFonts w:ascii="Arial" w:hAnsi="Arial" w:cs="Arial"/>
                <w:color w:val="000000"/>
              </w:rPr>
              <w:t>2</w:t>
            </w:r>
            <w:r w:rsidR="000D7B82" w:rsidRPr="00BD7DCD">
              <w:rPr>
                <w:rFonts w:ascii="Arial" w:hAnsi="Arial" w:cs="Arial"/>
                <w:color w:val="000000"/>
              </w:rPr>
              <w:t xml:space="preserve"> </w:t>
            </w:r>
            <w:r w:rsidRPr="00BD7DCD">
              <w:rPr>
                <w:rFonts w:ascii="Arial" w:hAnsi="Arial" w:cs="Arial"/>
                <w:color w:val="000000"/>
              </w:rPr>
              <w:t>910</w:t>
            </w:r>
          </w:p>
        </w:tc>
        <w:tc>
          <w:tcPr>
            <w:tcW w:w="1780" w:type="dxa"/>
            <w:tcBorders>
              <w:top w:val="single" w:sz="4" w:space="0" w:color="8EA9DB"/>
              <w:left w:val="single" w:sz="4" w:space="0" w:color="auto"/>
              <w:bottom w:val="single" w:sz="4" w:space="0" w:color="8EA9DB"/>
              <w:right w:val="single" w:sz="4" w:space="0" w:color="auto"/>
            </w:tcBorders>
            <w:shd w:val="clear" w:color="auto" w:fill="auto"/>
            <w:noWrap/>
            <w:vAlign w:val="bottom"/>
            <w:hideMark/>
          </w:tcPr>
          <w:p w14:paraId="71C1C41C" w14:textId="77777777" w:rsidR="00CC36B4" w:rsidRPr="00BD7DCD" w:rsidRDefault="00CC36B4" w:rsidP="00BD7DCD">
            <w:pPr>
              <w:jc w:val="center"/>
              <w:rPr>
                <w:rFonts w:ascii="Arial" w:hAnsi="Arial" w:cs="Arial"/>
                <w:color w:val="000000"/>
              </w:rPr>
            </w:pPr>
            <w:r w:rsidRPr="00BD7DCD">
              <w:rPr>
                <w:rFonts w:ascii="Arial" w:hAnsi="Arial" w:cs="Arial"/>
                <w:color w:val="000000"/>
              </w:rPr>
              <w:t>3</w:t>
            </w:r>
            <w:r w:rsidR="000D7B82" w:rsidRPr="00BD7DCD">
              <w:rPr>
                <w:rFonts w:ascii="Arial" w:hAnsi="Arial" w:cs="Arial"/>
                <w:color w:val="000000"/>
              </w:rPr>
              <w:t xml:space="preserve"> </w:t>
            </w:r>
            <w:r w:rsidRPr="00BD7DCD">
              <w:rPr>
                <w:rFonts w:ascii="Arial" w:hAnsi="Arial" w:cs="Arial"/>
                <w:color w:val="000000"/>
              </w:rPr>
              <w:t>984</w:t>
            </w:r>
          </w:p>
        </w:tc>
        <w:tc>
          <w:tcPr>
            <w:tcW w:w="2020" w:type="dxa"/>
            <w:tcBorders>
              <w:top w:val="single" w:sz="4" w:space="0" w:color="8EA9DB"/>
              <w:left w:val="single" w:sz="4" w:space="0" w:color="auto"/>
              <w:bottom w:val="single" w:sz="4" w:space="0" w:color="8EA9DB"/>
              <w:right w:val="single" w:sz="4" w:space="0" w:color="auto"/>
            </w:tcBorders>
            <w:shd w:val="clear" w:color="auto" w:fill="auto"/>
            <w:noWrap/>
            <w:vAlign w:val="bottom"/>
            <w:hideMark/>
          </w:tcPr>
          <w:p w14:paraId="318D5E35" w14:textId="77777777" w:rsidR="00CC36B4" w:rsidRPr="00BD7DCD" w:rsidRDefault="00CC36B4" w:rsidP="00BD7DCD">
            <w:pPr>
              <w:jc w:val="center"/>
              <w:rPr>
                <w:rFonts w:ascii="Arial" w:hAnsi="Arial" w:cs="Arial"/>
                <w:color w:val="000000"/>
              </w:rPr>
            </w:pPr>
            <w:r w:rsidRPr="00BD7DCD">
              <w:rPr>
                <w:rFonts w:ascii="Arial" w:hAnsi="Arial" w:cs="Arial"/>
                <w:color w:val="000000"/>
              </w:rPr>
              <w:t>2</w:t>
            </w:r>
            <w:r w:rsidR="000D7B82" w:rsidRPr="00BD7DCD">
              <w:rPr>
                <w:rFonts w:ascii="Arial" w:hAnsi="Arial" w:cs="Arial"/>
                <w:color w:val="000000"/>
              </w:rPr>
              <w:t xml:space="preserve"> </w:t>
            </w:r>
            <w:r w:rsidRPr="00BD7DCD">
              <w:rPr>
                <w:rFonts w:ascii="Arial" w:hAnsi="Arial" w:cs="Arial"/>
                <w:color w:val="000000"/>
              </w:rPr>
              <w:t>684</w:t>
            </w:r>
          </w:p>
        </w:tc>
        <w:tc>
          <w:tcPr>
            <w:tcW w:w="1900" w:type="dxa"/>
            <w:tcBorders>
              <w:top w:val="single" w:sz="4" w:space="0" w:color="8EA9DB"/>
              <w:left w:val="single" w:sz="4" w:space="0" w:color="auto"/>
              <w:bottom w:val="single" w:sz="4" w:space="0" w:color="8EA9DB"/>
              <w:right w:val="single" w:sz="4" w:space="0" w:color="auto"/>
            </w:tcBorders>
            <w:shd w:val="clear" w:color="auto" w:fill="auto"/>
            <w:noWrap/>
            <w:vAlign w:val="bottom"/>
            <w:hideMark/>
          </w:tcPr>
          <w:p w14:paraId="1763F0CC" w14:textId="77777777" w:rsidR="00CC36B4" w:rsidRPr="00BD7DCD" w:rsidRDefault="00CC36B4" w:rsidP="00BD7DCD">
            <w:pPr>
              <w:jc w:val="center"/>
              <w:rPr>
                <w:rFonts w:ascii="Arial" w:hAnsi="Arial" w:cs="Arial"/>
                <w:color w:val="000000"/>
              </w:rPr>
            </w:pPr>
            <w:r w:rsidRPr="00BD7DCD">
              <w:rPr>
                <w:rFonts w:ascii="Arial" w:hAnsi="Arial" w:cs="Arial"/>
                <w:color w:val="000000"/>
              </w:rPr>
              <w:t>1</w:t>
            </w:r>
            <w:r w:rsidR="000D7B82" w:rsidRPr="00BD7DCD">
              <w:rPr>
                <w:rFonts w:ascii="Arial" w:hAnsi="Arial" w:cs="Arial"/>
                <w:color w:val="000000"/>
              </w:rPr>
              <w:t xml:space="preserve"> </w:t>
            </w:r>
            <w:r w:rsidRPr="00BD7DCD">
              <w:rPr>
                <w:rFonts w:ascii="Arial" w:hAnsi="Arial" w:cs="Arial"/>
                <w:color w:val="000000"/>
              </w:rPr>
              <w:t>300</w:t>
            </w:r>
          </w:p>
        </w:tc>
      </w:tr>
      <w:tr w:rsidR="00CC36B4" w:rsidRPr="00BD7DCD" w14:paraId="5AEB800D" w14:textId="77777777" w:rsidTr="00DD6B8E">
        <w:trPr>
          <w:trHeight w:val="315"/>
        </w:trPr>
        <w:tc>
          <w:tcPr>
            <w:tcW w:w="1720" w:type="dxa"/>
            <w:tcBorders>
              <w:top w:val="single" w:sz="4" w:space="0" w:color="8EA9DB"/>
              <w:left w:val="single" w:sz="4" w:space="0" w:color="8EA9DB"/>
              <w:bottom w:val="single" w:sz="4" w:space="0" w:color="8EA9DB"/>
              <w:right w:val="single" w:sz="4" w:space="0" w:color="auto"/>
            </w:tcBorders>
            <w:shd w:val="clear" w:color="D9E1F2" w:fill="D9E1F2"/>
            <w:noWrap/>
            <w:vAlign w:val="bottom"/>
            <w:hideMark/>
          </w:tcPr>
          <w:p w14:paraId="1C19E928" w14:textId="77777777" w:rsidR="00CC36B4" w:rsidRPr="00BD7DCD" w:rsidRDefault="00CC36B4" w:rsidP="00A320E7">
            <w:pPr>
              <w:rPr>
                <w:rFonts w:ascii="Arial" w:hAnsi="Arial" w:cs="Arial"/>
                <w:color w:val="000000"/>
              </w:rPr>
            </w:pPr>
            <w:r w:rsidRPr="00BD7DCD">
              <w:rPr>
                <w:rFonts w:ascii="Arial" w:hAnsi="Arial" w:cs="Arial"/>
                <w:color w:val="000000"/>
              </w:rPr>
              <w:t>2020/21*</w:t>
            </w:r>
          </w:p>
        </w:tc>
        <w:tc>
          <w:tcPr>
            <w:tcW w:w="2140" w:type="dxa"/>
            <w:tcBorders>
              <w:top w:val="single" w:sz="4" w:space="0" w:color="8EA9DB"/>
              <w:left w:val="single" w:sz="4" w:space="0" w:color="auto"/>
              <w:bottom w:val="single" w:sz="4" w:space="0" w:color="8EA9DB"/>
              <w:right w:val="single" w:sz="4" w:space="0" w:color="auto"/>
            </w:tcBorders>
            <w:shd w:val="clear" w:color="D9E1F2" w:fill="D9E1F2"/>
            <w:noWrap/>
            <w:vAlign w:val="bottom"/>
            <w:hideMark/>
          </w:tcPr>
          <w:p w14:paraId="29127056" w14:textId="77777777" w:rsidR="00CC36B4" w:rsidRPr="00BD7DCD" w:rsidRDefault="00CC36B4" w:rsidP="00BD7DCD">
            <w:pPr>
              <w:jc w:val="center"/>
              <w:rPr>
                <w:rFonts w:ascii="Arial" w:hAnsi="Arial" w:cs="Arial"/>
                <w:color w:val="000000"/>
              </w:rPr>
            </w:pPr>
            <w:r w:rsidRPr="00BD7DCD">
              <w:rPr>
                <w:rFonts w:ascii="Arial" w:hAnsi="Arial" w:cs="Arial"/>
                <w:color w:val="000000"/>
              </w:rPr>
              <w:t>777</w:t>
            </w:r>
          </w:p>
        </w:tc>
        <w:tc>
          <w:tcPr>
            <w:tcW w:w="1780" w:type="dxa"/>
            <w:tcBorders>
              <w:top w:val="single" w:sz="4" w:space="0" w:color="8EA9DB"/>
              <w:left w:val="single" w:sz="4" w:space="0" w:color="auto"/>
              <w:bottom w:val="single" w:sz="4" w:space="0" w:color="8EA9DB"/>
              <w:right w:val="single" w:sz="4" w:space="0" w:color="auto"/>
            </w:tcBorders>
            <w:shd w:val="clear" w:color="D9E1F2" w:fill="D9E1F2"/>
            <w:noWrap/>
            <w:vAlign w:val="bottom"/>
            <w:hideMark/>
          </w:tcPr>
          <w:p w14:paraId="436C4DB0" w14:textId="77777777" w:rsidR="00CC36B4" w:rsidRPr="00BD7DCD" w:rsidRDefault="00CC36B4" w:rsidP="00BD7DCD">
            <w:pPr>
              <w:jc w:val="center"/>
              <w:rPr>
                <w:rFonts w:ascii="Arial" w:hAnsi="Arial" w:cs="Arial"/>
                <w:color w:val="000000"/>
              </w:rPr>
            </w:pPr>
            <w:r w:rsidRPr="00BD7DCD">
              <w:rPr>
                <w:rFonts w:ascii="Arial" w:hAnsi="Arial" w:cs="Arial"/>
                <w:color w:val="000000"/>
              </w:rPr>
              <w:t>1</w:t>
            </w:r>
            <w:r w:rsidR="000D7B82" w:rsidRPr="00BD7DCD">
              <w:rPr>
                <w:rFonts w:ascii="Arial" w:hAnsi="Arial" w:cs="Arial"/>
                <w:color w:val="000000"/>
              </w:rPr>
              <w:t xml:space="preserve"> </w:t>
            </w:r>
            <w:r w:rsidRPr="00BD7DCD">
              <w:rPr>
                <w:rFonts w:ascii="Arial" w:hAnsi="Arial" w:cs="Arial"/>
                <w:color w:val="000000"/>
              </w:rPr>
              <w:t>045</w:t>
            </w:r>
          </w:p>
        </w:tc>
        <w:tc>
          <w:tcPr>
            <w:tcW w:w="2020" w:type="dxa"/>
            <w:tcBorders>
              <w:top w:val="single" w:sz="4" w:space="0" w:color="8EA9DB"/>
              <w:left w:val="single" w:sz="4" w:space="0" w:color="auto"/>
              <w:bottom w:val="single" w:sz="4" w:space="0" w:color="8EA9DB"/>
              <w:right w:val="single" w:sz="4" w:space="0" w:color="auto"/>
            </w:tcBorders>
            <w:shd w:val="clear" w:color="D9E1F2" w:fill="D9E1F2"/>
            <w:noWrap/>
            <w:vAlign w:val="bottom"/>
            <w:hideMark/>
          </w:tcPr>
          <w:p w14:paraId="2CED267D" w14:textId="77777777" w:rsidR="00CC36B4" w:rsidRPr="00BD7DCD" w:rsidRDefault="00CC36B4" w:rsidP="00BD7DCD">
            <w:pPr>
              <w:jc w:val="center"/>
              <w:rPr>
                <w:rFonts w:ascii="Arial" w:hAnsi="Arial" w:cs="Arial"/>
                <w:color w:val="000000"/>
              </w:rPr>
            </w:pPr>
            <w:r w:rsidRPr="00BD7DCD">
              <w:rPr>
                <w:rFonts w:ascii="Arial" w:hAnsi="Arial" w:cs="Arial"/>
                <w:color w:val="000000"/>
              </w:rPr>
              <w:t>724</w:t>
            </w:r>
          </w:p>
        </w:tc>
        <w:tc>
          <w:tcPr>
            <w:tcW w:w="1900" w:type="dxa"/>
            <w:tcBorders>
              <w:top w:val="single" w:sz="4" w:space="0" w:color="8EA9DB"/>
              <w:left w:val="single" w:sz="4" w:space="0" w:color="auto"/>
              <w:bottom w:val="single" w:sz="4" w:space="0" w:color="8EA9DB"/>
              <w:right w:val="single" w:sz="4" w:space="0" w:color="auto"/>
            </w:tcBorders>
            <w:shd w:val="clear" w:color="D9E1F2" w:fill="D9E1F2"/>
            <w:noWrap/>
            <w:vAlign w:val="bottom"/>
            <w:hideMark/>
          </w:tcPr>
          <w:p w14:paraId="20EA632D" w14:textId="77777777" w:rsidR="00CC36B4" w:rsidRPr="00BD7DCD" w:rsidRDefault="00CC36B4" w:rsidP="00BD7DCD">
            <w:pPr>
              <w:jc w:val="center"/>
              <w:rPr>
                <w:rFonts w:ascii="Arial" w:hAnsi="Arial" w:cs="Arial"/>
                <w:color w:val="000000"/>
              </w:rPr>
            </w:pPr>
            <w:r w:rsidRPr="00BD7DCD">
              <w:rPr>
                <w:rFonts w:ascii="Arial" w:hAnsi="Arial" w:cs="Arial"/>
                <w:color w:val="000000"/>
              </w:rPr>
              <w:t>321</w:t>
            </w:r>
          </w:p>
        </w:tc>
      </w:tr>
      <w:tr w:rsidR="00CC36B4" w:rsidRPr="00BD7DCD" w14:paraId="76BB64BB" w14:textId="77777777" w:rsidTr="00DD6B8E">
        <w:trPr>
          <w:trHeight w:val="315"/>
        </w:trPr>
        <w:tc>
          <w:tcPr>
            <w:tcW w:w="1720" w:type="dxa"/>
            <w:tcBorders>
              <w:top w:val="single" w:sz="4" w:space="0" w:color="8EA9DB"/>
              <w:left w:val="single" w:sz="4" w:space="0" w:color="8EA9DB"/>
              <w:bottom w:val="single" w:sz="4" w:space="0" w:color="8EA9DB"/>
              <w:right w:val="single" w:sz="4" w:space="0" w:color="auto"/>
            </w:tcBorders>
            <w:shd w:val="clear" w:color="auto" w:fill="auto"/>
            <w:noWrap/>
            <w:vAlign w:val="bottom"/>
            <w:hideMark/>
          </w:tcPr>
          <w:p w14:paraId="179C503C" w14:textId="77777777" w:rsidR="00CC36B4" w:rsidRPr="00BD7DCD" w:rsidRDefault="00CC36B4" w:rsidP="00A320E7">
            <w:pPr>
              <w:rPr>
                <w:rFonts w:ascii="Arial" w:hAnsi="Arial" w:cs="Arial"/>
                <w:color w:val="000000"/>
              </w:rPr>
            </w:pPr>
            <w:r w:rsidRPr="00BD7DCD">
              <w:rPr>
                <w:rFonts w:ascii="Arial" w:hAnsi="Arial" w:cs="Arial"/>
                <w:color w:val="000000"/>
              </w:rPr>
              <w:t>2021/22</w:t>
            </w:r>
          </w:p>
        </w:tc>
        <w:tc>
          <w:tcPr>
            <w:tcW w:w="2140" w:type="dxa"/>
            <w:tcBorders>
              <w:top w:val="single" w:sz="4" w:space="0" w:color="8EA9DB"/>
              <w:left w:val="single" w:sz="4" w:space="0" w:color="auto"/>
              <w:bottom w:val="single" w:sz="4" w:space="0" w:color="8EA9DB"/>
              <w:right w:val="single" w:sz="4" w:space="0" w:color="auto"/>
            </w:tcBorders>
            <w:shd w:val="clear" w:color="auto" w:fill="auto"/>
            <w:noWrap/>
            <w:vAlign w:val="bottom"/>
            <w:hideMark/>
          </w:tcPr>
          <w:p w14:paraId="62BEDBA5" w14:textId="77777777" w:rsidR="00CC36B4" w:rsidRPr="00BD7DCD" w:rsidRDefault="00CC36B4" w:rsidP="00BD7DCD">
            <w:pPr>
              <w:jc w:val="center"/>
              <w:rPr>
                <w:rFonts w:ascii="Arial" w:hAnsi="Arial" w:cs="Arial"/>
                <w:color w:val="000000"/>
              </w:rPr>
            </w:pPr>
            <w:r w:rsidRPr="00BD7DCD">
              <w:rPr>
                <w:rFonts w:ascii="Arial" w:hAnsi="Arial" w:cs="Arial"/>
                <w:color w:val="000000"/>
              </w:rPr>
              <w:t>1</w:t>
            </w:r>
            <w:r w:rsidR="000D7B82" w:rsidRPr="00BD7DCD">
              <w:rPr>
                <w:rFonts w:ascii="Arial" w:hAnsi="Arial" w:cs="Arial"/>
                <w:color w:val="000000"/>
              </w:rPr>
              <w:t xml:space="preserve"> </w:t>
            </w:r>
            <w:r w:rsidRPr="00BD7DCD">
              <w:rPr>
                <w:rFonts w:ascii="Arial" w:hAnsi="Arial" w:cs="Arial"/>
                <w:color w:val="000000"/>
              </w:rPr>
              <w:t>979</w:t>
            </w:r>
          </w:p>
        </w:tc>
        <w:tc>
          <w:tcPr>
            <w:tcW w:w="1780" w:type="dxa"/>
            <w:tcBorders>
              <w:top w:val="single" w:sz="4" w:space="0" w:color="8EA9DB"/>
              <w:left w:val="single" w:sz="4" w:space="0" w:color="auto"/>
              <w:bottom w:val="single" w:sz="4" w:space="0" w:color="8EA9DB"/>
              <w:right w:val="single" w:sz="4" w:space="0" w:color="auto"/>
            </w:tcBorders>
            <w:shd w:val="clear" w:color="auto" w:fill="auto"/>
            <w:noWrap/>
            <w:vAlign w:val="bottom"/>
            <w:hideMark/>
          </w:tcPr>
          <w:p w14:paraId="4EFD3E94" w14:textId="77777777" w:rsidR="00CC36B4" w:rsidRPr="00BD7DCD" w:rsidRDefault="00CC36B4" w:rsidP="00BD7DCD">
            <w:pPr>
              <w:jc w:val="center"/>
              <w:rPr>
                <w:rFonts w:ascii="Arial" w:hAnsi="Arial" w:cs="Arial"/>
                <w:color w:val="000000"/>
              </w:rPr>
            </w:pPr>
            <w:r w:rsidRPr="00BD7DCD">
              <w:rPr>
                <w:rFonts w:ascii="Arial" w:hAnsi="Arial" w:cs="Arial"/>
                <w:color w:val="000000"/>
              </w:rPr>
              <w:t>2</w:t>
            </w:r>
            <w:r w:rsidR="000D7B82" w:rsidRPr="00BD7DCD">
              <w:rPr>
                <w:rFonts w:ascii="Arial" w:hAnsi="Arial" w:cs="Arial"/>
                <w:color w:val="000000"/>
              </w:rPr>
              <w:t xml:space="preserve"> </w:t>
            </w:r>
            <w:r w:rsidRPr="00BD7DCD">
              <w:rPr>
                <w:rFonts w:ascii="Arial" w:hAnsi="Arial" w:cs="Arial"/>
                <w:color w:val="000000"/>
              </w:rPr>
              <w:t>826</w:t>
            </w:r>
          </w:p>
        </w:tc>
        <w:tc>
          <w:tcPr>
            <w:tcW w:w="2020" w:type="dxa"/>
            <w:tcBorders>
              <w:top w:val="single" w:sz="4" w:space="0" w:color="8EA9DB"/>
              <w:left w:val="single" w:sz="4" w:space="0" w:color="auto"/>
              <w:bottom w:val="single" w:sz="4" w:space="0" w:color="8EA9DB"/>
              <w:right w:val="single" w:sz="4" w:space="0" w:color="auto"/>
            </w:tcBorders>
            <w:shd w:val="clear" w:color="auto" w:fill="auto"/>
            <w:noWrap/>
            <w:vAlign w:val="bottom"/>
            <w:hideMark/>
          </w:tcPr>
          <w:p w14:paraId="64569459" w14:textId="77777777" w:rsidR="00CC36B4" w:rsidRPr="00BD7DCD" w:rsidRDefault="00CC36B4" w:rsidP="00BD7DCD">
            <w:pPr>
              <w:jc w:val="center"/>
              <w:rPr>
                <w:rFonts w:ascii="Arial" w:hAnsi="Arial" w:cs="Arial"/>
                <w:color w:val="000000"/>
              </w:rPr>
            </w:pPr>
            <w:r w:rsidRPr="00BD7DCD">
              <w:rPr>
                <w:rFonts w:ascii="Arial" w:hAnsi="Arial" w:cs="Arial"/>
                <w:color w:val="000000"/>
              </w:rPr>
              <w:t>1</w:t>
            </w:r>
            <w:r w:rsidR="000D7B82" w:rsidRPr="00BD7DCD">
              <w:rPr>
                <w:rFonts w:ascii="Arial" w:hAnsi="Arial" w:cs="Arial"/>
                <w:color w:val="000000"/>
              </w:rPr>
              <w:t xml:space="preserve"> </w:t>
            </w:r>
            <w:r w:rsidRPr="00BD7DCD">
              <w:rPr>
                <w:rFonts w:ascii="Arial" w:hAnsi="Arial" w:cs="Arial"/>
                <w:color w:val="000000"/>
              </w:rPr>
              <w:t>841</w:t>
            </w:r>
          </w:p>
        </w:tc>
        <w:tc>
          <w:tcPr>
            <w:tcW w:w="1900" w:type="dxa"/>
            <w:tcBorders>
              <w:top w:val="single" w:sz="4" w:space="0" w:color="8EA9DB"/>
              <w:left w:val="single" w:sz="4" w:space="0" w:color="auto"/>
              <w:bottom w:val="single" w:sz="4" w:space="0" w:color="8EA9DB"/>
              <w:right w:val="single" w:sz="4" w:space="0" w:color="auto"/>
            </w:tcBorders>
            <w:shd w:val="clear" w:color="auto" w:fill="auto"/>
            <w:noWrap/>
            <w:vAlign w:val="bottom"/>
            <w:hideMark/>
          </w:tcPr>
          <w:p w14:paraId="6885F957" w14:textId="77777777" w:rsidR="00CC36B4" w:rsidRPr="00BD7DCD" w:rsidRDefault="00CC36B4" w:rsidP="00BD7DCD">
            <w:pPr>
              <w:jc w:val="center"/>
              <w:rPr>
                <w:rFonts w:ascii="Arial" w:hAnsi="Arial" w:cs="Arial"/>
                <w:color w:val="000000"/>
              </w:rPr>
            </w:pPr>
            <w:r w:rsidRPr="00BD7DCD">
              <w:rPr>
                <w:rFonts w:ascii="Arial" w:hAnsi="Arial" w:cs="Arial"/>
                <w:color w:val="000000"/>
              </w:rPr>
              <w:t>985</w:t>
            </w:r>
          </w:p>
        </w:tc>
      </w:tr>
      <w:tr w:rsidR="00CC36B4" w:rsidRPr="00BD7DCD" w14:paraId="2DC21373" w14:textId="77777777" w:rsidTr="00DD6B8E">
        <w:trPr>
          <w:trHeight w:val="315"/>
        </w:trPr>
        <w:tc>
          <w:tcPr>
            <w:tcW w:w="1720" w:type="dxa"/>
            <w:tcBorders>
              <w:top w:val="single" w:sz="4" w:space="0" w:color="8EA9DB"/>
              <w:left w:val="single" w:sz="4" w:space="0" w:color="8EA9DB"/>
              <w:bottom w:val="single" w:sz="4" w:space="0" w:color="8EA9DB"/>
              <w:right w:val="single" w:sz="4" w:space="0" w:color="auto"/>
            </w:tcBorders>
            <w:shd w:val="clear" w:color="D9E1F2" w:fill="D9E1F2"/>
            <w:noWrap/>
            <w:vAlign w:val="bottom"/>
            <w:hideMark/>
          </w:tcPr>
          <w:p w14:paraId="0E1449E1" w14:textId="77777777" w:rsidR="00CC36B4" w:rsidRPr="00BD7DCD" w:rsidRDefault="00CC36B4" w:rsidP="00A320E7">
            <w:pPr>
              <w:rPr>
                <w:rFonts w:ascii="Arial" w:hAnsi="Arial" w:cs="Arial"/>
                <w:b/>
                <w:bCs/>
                <w:color w:val="000000"/>
              </w:rPr>
            </w:pPr>
            <w:r w:rsidRPr="00BD7DCD">
              <w:rPr>
                <w:rFonts w:ascii="Arial" w:hAnsi="Arial" w:cs="Arial"/>
                <w:b/>
                <w:bCs/>
                <w:color w:val="000000"/>
              </w:rPr>
              <w:t>Total</w:t>
            </w:r>
          </w:p>
        </w:tc>
        <w:tc>
          <w:tcPr>
            <w:tcW w:w="2140" w:type="dxa"/>
            <w:tcBorders>
              <w:top w:val="single" w:sz="4" w:space="0" w:color="8EA9DB"/>
              <w:left w:val="single" w:sz="4" w:space="0" w:color="auto"/>
              <w:bottom w:val="single" w:sz="4" w:space="0" w:color="8EA9DB"/>
              <w:right w:val="single" w:sz="4" w:space="0" w:color="auto"/>
            </w:tcBorders>
            <w:shd w:val="clear" w:color="D9E1F2" w:fill="D9E1F2"/>
            <w:noWrap/>
            <w:vAlign w:val="bottom"/>
            <w:hideMark/>
          </w:tcPr>
          <w:p w14:paraId="3B62FE9A" w14:textId="77777777" w:rsidR="00CC36B4" w:rsidRPr="00BD7DCD" w:rsidRDefault="00CC36B4" w:rsidP="00BD7DCD">
            <w:pPr>
              <w:jc w:val="center"/>
              <w:rPr>
                <w:rFonts w:ascii="Arial" w:hAnsi="Arial" w:cs="Arial"/>
                <w:b/>
                <w:bCs/>
                <w:color w:val="000000"/>
              </w:rPr>
            </w:pPr>
            <w:r w:rsidRPr="00BD7DCD">
              <w:rPr>
                <w:rFonts w:ascii="Arial" w:hAnsi="Arial" w:cs="Arial"/>
                <w:b/>
                <w:bCs/>
                <w:color w:val="000000"/>
              </w:rPr>
              <w:t>8</w:t>
            </w:r>
            <w:r w:rsidR="000D7B82" w:rsidRPr="00BD7DCD">
              <w:rPr>
                <w:rFonts w:ascii="Arial" w:hAnsi="Arial" w:cs="Arial"/>
                <w:b/>
                <w:bCs/>
                <w:color w:val="000000"/>
              </w:rPr>
              <w:t xml:space="preserve"> </w:t>
            </w:r>
            <w:r w:rsidRPr="00BD7DCD">
              <w:rPr>
                <w:rFonts w:ascii="Arial" w:hAnsi="Arial" w:cs="Arial"/>
                <w:b/>
                <w:bCs/>
                <w:color w:val="000000"/>
              </w:rPr>
              <w:t>721</w:t>
            </w:r>
          </w:p>
        </w:tc>
        <w:tc>
          <w:tcPr>
            <w:tcW w:w="1780" w:type="dxa"/>
            <w:tcBorders>
              <w:top w:val="single" w:sz="4" w:space="0" w:color="8EA9DB"/>
              <w:left w:val="single" w:sz="4" w:space="0" w:color="auto"/>
              <w:bottom w:val="single" w:sz="4" w:space="0" w:color="8EA9DB"/>
              <w:right w:val="single" w:sz="4" w:space="0" w:color="auto"/>
            </w:tcBorders>
            <w:shd w:val="clear" w:color="D9E1F2" w:fill="D9E1F2"/>
            <w:noWrap/>
            <w:vAlign w:val="bottom"/>
            <w:hideMark/>
          </w:tcPr>
          <w:p w14:paraId="5FCE26D2" w14:textId="77777777" w:rsidR="00CC36B4" w:rsidRPr="00BD7DCD" w:rsidRDefault="00CC36B4" w:rsidP="00BD7DCD">
            <w:pPr>
              <w:jc w:val="center"/>
              <w:rPr>
                <w:rFonts w:ascii="Arial" w:hAnsi="Arial" w:cs="Arial"/>
                <w:b/>
                <w:bCs/>
                <w:color w:val="000000"/>
              </w:rPr>
            </w:pPr>
            <w:r w:rsidRPr="00BD7DCD">
              <w:rPr>
                <w:rFonts w:ascii="Arial" w:hAnsi="Arial" w:cs="Arial"/>
                <w:b/>
                <w:bCs/>
                <w:color w:val="000000"/>
              </w:rPr>
              <w:t>12</w:t>
            </w:r>
            <w:r w:rsidR="000D7B82" w:rsidRPr="00BD7DCD">
              <w:rPr>
                <w:rFonts w:ascii="Arial" w:hAnsi="Arial" w:cs="Arial"/>
                <w:b/>
                <w:bCs/>
                <w:color w:val="000000"/>
              </w:rPr>
              <w:t xml:space="preserve"> </w:t>
            </w:r>
            <w:r w:rsidRPr="00BD7DCD">
              <w:rPr>
                <w:rFonts w:ascii="Arial" w:hAnsi="Arial" w:cs="Arial"/>
                <w:b/>
                <w:bCs/>
                <w:color w:val="000000"/>
              </w:rPr>
              <w:t>064</w:t>
            </w:r>
          </w:p>
        </w:tc>
        <w:tc>
          <w:tcPr>
            <w:tcW w:w="2020" w:type="dxa"/>
            <w:tcBorders>
              <w:top w:val="single" w:sz="4" w:space="0" w:color="8EA9DB"/>
              <w:left w:val="single" w:sz="4" w:space="0" w:color="auto"/>
              <w:bottom w:val="single" w:sz="4" w:space="0" w:color="8EA9DB"/>
              <w:right w:val="single" w:sz="4" w:space="0" w:color="auto"/>
            </w:tcBorders>
            <w:shd w:val="clear" w:color="D9E1F2" w:fill="D9E1F2"/>
            <w:noWrap/>
            <w:vAlign w:val="bottom"/>
            <w:hideMark/>
          </w:tcPr>
          <w:p w14:paraId="02B42E12" w14:textId="77777777" w:rsidR="00CC36B4" w:rsidRPr="00BD7DCD" w:rsidRDefault="00CC36B4" w:rsidP="00BD7DCD">
            <w:pPr>
              <w:jc w:val="center"/>
              <w:rPr>
                <w:rFonts w:ascii="Arial" w:hAnsi="Arial" w:cs="Arial"/>
                <w:b/>
                <w:bCs/>
                <w:color w:val="000000"/>
              </w:rPr>
            </w:pPr>
            <w:r w:rsidRPr="00BD7DCD">
              <w:rPr>
                <w:rFonts w:ascii="Arial" w:hAnsi="Arial" w:cs="Arial"/>
                <w:b/>
                <w:bCs/>
                <w:color w:val="000000"/>
              </w:rPr>
              <w:t>8</w:t>
            </w:r>
            <w:r w:rsidR="000D7B82" w:rsidRPr="00BD7DCD">
              <w:rPr>
                <w:rFonts w:ascii="Arial" w:hAnsi="Arial" w:cs="Arial"/>
                <w:b/>
                <w:bCs/>
                <w:color w:val="000000"/>
              </w:rPr>
              <w:t xml:space="preserve"> </w:t>
            </w:r>
            <w:r w:rsidRPr="00BD7DCD">
              <w:rPr>
                <w:rFonts w:ascii="Arial" w:hAnsi="Arial" w:cs="Arial"/>
                <w:b/>
                <w:bCs/>
                <w:color w:val="000000"/>
              </w:rPr>
              <w:t>066</w:t>
            </w:r>
          </w:p>
        </w:tc>
        <w:tc>
          <w:tcPr>
            <w:tcW w:w="1900" w:type="dxa"/>
            <w:tcBorders>
              <w:top w:val="single" w:sz="4" w:space="0" w:color="8EA9DB"/>
              <w:left w:val="single" w:sz="4" w:space="0" w:color="auto"/>
              <w:bottom w:val="single" w:sz="4" w:space="0" w:color="8EA9DB"/>
              <w:right w:val="single" w:sz="4" w:space="0" w:color="auto"/>
            </w:tcBorders>
            <w:shd w:val="clear" w:color="D9E1F2" w:fill="D9E1F2"/>
            <w:noWrap/>
            <w:vAlign w:val="bottom"/>
            <w:hideMark/>
          </w:tcPr>
          <w:p w14:paraId="55580B9B" w14:textId="77777777" w:rsidR="00CC36B4" w:rsidRPr="00BD7DCD" w:rsidRDefault="00CC36B4" w:rsidP="00BD7DCD">
            <w:pPr>
              <w:jc w:val="center"/>
              <w:rPr>
                <w:rFonts w:ascii="Arial" w:hAnsi="Arial" w:cs="Arial"/>
                <w:b/>
                <w:bCs/>
                <w:color w:val="000000"/>
              </w:rPr>
            </w:pPr>
            <w:r w:rsidRPr="00BD7DCD">
              <w:rPr>
                <w:rFonts w:ascii="Arial" w:hAnsi="Arial" w:cs="Arial"/>
                <w:b/>
                <w:bCs/>
                <w:color w:val="000000"/>
              </w:rPr>
              <w:t>3</w:t>
            </w:r>
            <w:r w:rsidR="000D7B82" w:rsidRPr="00BD7DCD">
              <w:rPr>
                <w:rFonts w:ascii="Arial" w:hAnsi="Arial" w:cs="Arial"/>
                <w:b/>
                <w:bCs/>
                <w:color w:val="000000"/>
              </w:rPr>
              <w:t xml:space="preserve"> </w:t>
            </w:r>
            <w:r w:rsidRPr="00BD7DCD">
              <w:rPr>
                <w:rFonts w:ascii="Arial" w:hAnsi="Arial" w:cs="Arial"/>
                <w:b/>
                <w:bCs/>
                <w:color w:val="000000"/>
              </w:rPr>
              <w:t>998</w:t>
            </w:r>
          </w:p>
        </w:tc>
      </w:tr>
    </w:tbl>
    <w:p w14:paraId="097100F7" w14:textId="77777777" w:rsidR="00CC36B4" w:rsidRDefault="00CC36B4" w:rsidP="00A320E7">
      <w:pPr>
        <w:spacing w:line="360" w:lineRule="auto"/>
        <w:jc w:val="both"/>
        <w:rPr>
          <w:rFonts w:ascii="Arial" w:hAnsi="Arial" w:cs="Arial"/>
          <w:bCs/>
        </w:rPr>
      </w:pPr>
    </w:p>
    <w:p w14:paraId="4F3EC392" w14:textId="77777777" w:rsidR="00CC36B4" w:rsidRDefault="00CC36B4" w:rsidP="00A320E7">
      <w:pPr>
        <w:numPr>
          <w:ilvl w:val="0"/>
          <w:numId w:val="3"/>
        </w:numPr>
        <w:spacing w:line="360" w:lineRule="auto"/>
        <w:jc w:val="both"/>
        <w:rPr>
          <w:rFonts w:ascii="Arial" w:hAnsi="Arial" w:cs="Arial"/>
          <w:bCs/>
        </w:rPr>
      </w:pPr>
      <w:r>
        <w:rPr>
          <w:rFonts w:ascii="Arial" w:hAnsi="Arial" w:cs="Arial"/>
          <w:bCs/>
        </w:rPr>
        <w:t>The number of rape matters reported to the South African Police Service declined during the 2020/21 financial year due to the restricted movement during the COVID</w:t>
      </w:r>
      <w:r w:rsidR="00905310">
        <w:rPr>
          <w:rFonts w:ascii="Arial" w:hAnsi="Arial" w:cs="Arial"/>
          <w:bCs/>
        </w:rPr>
        <w:t>-19</w:t>
      </w:r>
      <w:r>
        <w:rPr>
          <w:rFonts w:ascii="Arial" w:hAnsi="Arial" w:cs="Arial"/>
          <w:bCs/>
        </w:rPr>
        <w:t xml:space="preserve"> pandemic. </w:t>
      </w:r>
      <w:r w:rsidR="00701F13">
        <w:rPr>
          <w:rFonts w:ascii="Arial" w:hAnsi="Arial" w:cs="Arial"/>
          <w:bCs/>
        </w:rPr>
        <w:t>The details on the afore</w:t>
      </w:r>
      <w:r w:rsidR="00BD7DCD">
        <w:rPr>
          <w:rFonts w:ascii="Arial" w:hAnsi="Arial" w:cs="Arial"/>
          <w:bCs/>
        </w:rPr>
        <w:t>-</w:t>
      </w:r>
      <w:r w:rsidR="00701F13">
        <w:rPr>
          <w:rFonts w:ascii="Arial" w:hAnsi="Arial" w:cs="Arial"/>
          <w:bCs/>
        </w:rPr>
        <w:t>mentioned</w:t>
      </w:r>
      <w:r w:rsidR="00BD7DCD">
        <w:rPr>
          <w:rFonts w:ascii="Arial" w:hAnsi="Arial" w:cs="Arial"/>
          <w:bCs/>
        </w:rPr>
        <w:t xml:space="preserve"> </w:t>
      </w:r>
      <w:r w:rsidR="00701F13">
        <w:rPr>
          <w:rFonts w:ascii="Arial" w:hAnsi="Arial" w:cs="Arial"/>
          <w:bCs/>
        </w:rPr>
        <w:t xml:space="preserve">numbers could be obtained from the South African Police Service (SAPS). </w:t>
      </w:r>
      <w:r>
        <w:rPr>
          <w:rFonts w:ascii="Arial" w:hAnsi="Arial" w:cs="Arial"/>
          <w:bCs/>
        </w:rPr>
        <w:t xml:space="preserve">Coupled with this, the </w:t>
      </w:r>
      <w:r>
        <w:rPr>
          <w:rFonts w:ascii="Arial" w:hAnsi="Arial" w:cs="Arial"/>
          <w:bCs/>
        </w:rPr>
        <w:lastRenderedPageBreak/>
        <w:t>courts were also limited in their operations as accused, witnesses and parties to proceedings had limited ability to travel or visit court proceedings.</w:t>
      </w:r>
    </w:p>
    <w:p w14:paraId="35E18897" w14:textId="77777777" w:rsidR="00CC36B4" w:rsidRDefault="00CC36B4" w:rsidP="00A320E7">
      <w:pPr>
        <w:spacing w:line="360" w:lineRule="auto"/>
        <w:jc w:val="both"/>
        <w:rPr>
          <w:rFonts w:ascii="Arial" w:hAnsi="Arial" w:cs="Arial"/>
          <w:bCs/>
        </w:rPr>
      </w:pPr>
    </w:p>
    <w:p w14:paraId="2841C673" w14:textId="77777777" w:rsidR="0087303B" w:rsidRPr="00905310" w:rsidRDefault="00905310" w:rsidP="00A320E7">
      <w:pPr>
        <w:spacing w:line="360" w:lineRule="auto"/>
        <w:jc w:val="both"/>
        <w:rPr>
          <w:rFonts w:ascii="Arial" w:hAnsi="Arial" w:cs="Arial"/>
          <w:bCs/>
        </w:rPr>
      </w:pPr>
      <w:r>
        <w:rPr>
          <w:rFonts w:ascii="Arial" w:hAnsi="Arial" w:cs="Arial"/>
          <w:bCs/>
        </w:rPr>
        <w:t>S</w:t>
      </w:r>
      <w:r w:rsidR="00704E32" w:rsidRPr="00905310">
        <w:rPr>
          <w:rFonts w:ascii="Arial" w:hAnsi="Arial" w:cs="Arial"/>
          <w:bCs/>
        </w:rPr>
        <w:t xml:space="preserve">tatistics of </w:t>
      </w:r>
      <w:r w:rsidR="00E67B7A" w:rsidRPr="00905310">
        <w:rPr>
          <w:rFonts w:ascii="Arial" w:hAnsi="Arial" w:cs="Arial"/>
          <w:bCs/>
        </w:rPr>
        <w:t xml:space="preserve">prosecuted </w:t>
      </w:r>
      <w:r w:rsidR="00704E32" w:rsidRPr="00905310">
        <w:rPr>
          <w:rFonts w:ascii="Arial" w:hAnsi="Arial" w:cs="Arial"/>
          <w:bCs/>
        </w:rPr>
        <w:t>cases regarding matters reported at the Thuthuzela Care Centres (T</w:t>
      </w:r>
      <w:r w:rsidR="000218FE" w:rsidRPr="00905310">
        <w:rPr>
          <w:rFonts w:ascii="Arial" w:hAnsi="Arial" w:cs="Arial"/>
          <w:bCs/>
        </w:rPr>
        <w:t>C</w:t>
      </w:r>
      <w:r w:rsidR="00704E32" w:rsidRPr="00905310">
        <w:rPr>
          <w:rFonts w:ascii="Arial" w:hAnsi="Arial" w:cs="Arial"/>
          <w:bCs/>
        </w:rPr>
        <w:t xml:space="preserve">Cs) for the financial years as requested are reflected in the table below:   </w:t>
      </w:r>
    </w:p>
    <w:p w14:paraId="7E66E917" w14:textId="77777777" w:rsidR="00CD1DD2" w:rsidRPr="000218FE" w:rsidRDefault="00CD1DD2" w:rsidP="00A320E7">
      <w:pPr>
        <w:spacing w:line="360" w:lineRule="auto"/>
        <w:jc w:val="both"/>
        <w:rPr>
          <w:rFonts w:ascii="Arial" w:hAnsi="Arial" w:cs="Arial"/>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535"/>
        <w:gridCol w:w="2490"/>
        <w:gridCol w:w="2100"/>
      </w:tblGrid>
      <w:tr w:rsidR="00E67B7A" w:rsidRPr="00905310" w14:paraId="7F639123" w14:textId="77777777">
        <w:tc>
          <w:tcPr>
            <w:tcW w:w="2451" w:type="dxa"/>
            <w:shd w:val="clear" w:color="auto" w:fill="E7E6E6"/>
          </w:tcPr>
          <w:p w14:paraId="4D0903DA" w14:textId="77777777" w:rsidR="00E67B7A" w:rsidRPr="00905310" w:rsidRDefault="00E67B7A" w:rsidP="00A320E7">
            <w:pPr>
              <w:spacing w:line="360" w:lineRule="auto"/>
              <w:jc w:val="both"/>
              <w:rPr>
                <w:rFonts w:ascii="Arial" w:hAnsi="Arial" w:cs="Arial"/>
                <w:b/>
              </w:rPr>
            </w:pPr>
            <w:r w:rsidRPr="00905310">
              <w:rPr>
                <w:rFonts w:ascii="Arial" w:hAnsi="Arial" w:cs="Arial"/>
                <w:b/>
              </w:rPr>
              <w:t xml:space="preserve">Financial Years </w:t>
            </w:r>
          </w:p>
        </w:tc>
        <w:tc>
          <w:tcPr>
            <w:tcW w:w="2535" w:type="dxa"/>
            <w:shd w:val="clear" w:color="auto" w:fill="E7E6E6"/>
          </w:tcPr>
          <w:p w14:paraId="6DE59CA2" w14:textId="77777777" w:rsidR="00E67B7A" w:rsidRPr="00905310" w:rsidRDefault="00E67B7A" w:rsidP="00A320E7">
            <w:pPr>
              <w:spacing w:line="360" w:lineRule="auto"/>
              <w:jc w:val="both"/>
              <w:rPr>
                <w:rFonts w:ascii="Arial" w:hAnsi="Arial" w:cs="Arial"/>
                <w:b/>
              </w:rPr>
            </w:pPr>
            <w:r w:rsidRPr="00905310">
              <w:rPr>
                <w:rFonts w:ascii="Arial" w:hAnsi="Arial" w:cs="Arial"/>
                <w:b/>
              </w:rPr>
              <w:t xml:space="preserve">Conviction rate and actual number of all TCC sexual offence cases prosecuted  </w:t>
            </w:r>
          </w:p>
        </w:tc>
        <w:tc>
          <w:tcPr>
            <w:tcW w:w="2490" w:type="dxa"/>
            <w:shd w:val="clear" w:color="auto" w:fill="E7E6E6"/>
          </w:tcPr>
          <w:p w14:paraId="1CB6D5E9" w14:textId="77777777" w:rsidR="00E67B7A" w:rsidRPr="00905310" w:rsidRDefault="00E67B7A" w:rsidP="00A320E7">
            <w:pPr>
              <w:spacing w:line="360" w:lineRule="auto"/>
              <w:jc w:val="both"/>
              <w:rPr>
                <w:rFonts w:ascii="Arial" w:hAnsi="Arial" w:cs="Arial"/>
                <w:b/>
              </w:rPr>
            </w:pPr>
            <w:r w:rsidRPr="00905310">
              <w:rPr>
                <w:rFonts w:ascii="Arial" w:hAnsi="Arial" w:cs="Arial"/>
                <w:b/>
              </w:rPr>
              <w:t xml:space="preserve">Number of Rape charges – conviction versus acquittal </w:t>
            </w:r>
          </w:p>
        </w:tc>
        <w:tc>
          <w:tcPr>
            <w:tcW w:w="2100" w:type="dxa"/>
            <w:shd w:val="clear" w:color="auto" w:fill="E7E6E6"/>
          </w:tcPr>
          <w:p w14:paraId="2D390438" w14:textId="77777777" w:rsidR="00E67B7A" w:rsidRPr="00905310" w:rsidRDefault="00E67B7A" w:rsidP="00A320E7">
            <w:pPr>
              <w:spacing w:line="360" w:lineRule="auto"/>
              <w:jc w:val="both"/>
              <w:rPr>
                <w:rFonts w:ascii="Arial" w:hAnsi="Arial" w:cs="Arial"/>
                <w:b/>
              </w:rPr>
            </w:pPr>
            <w:r w:rsidRPr="00905310">
              <w:rPr>
                <w:rFonts w:ascii="Arial" w:hAnsi="Arial" w:cs="Arial"/>
                <w:b/>
              </w:rPr>
              <w:t>Percentage of rape charges in TCC sexual offence cases prosecuted</w:t>
            </w:r>
          </w:p>
        </w:tc>
      </w:tr>
      <w:tr w:rsidR="00E67B7A" w:rsidRPr="00905310" w14:paraId="59977CFA" w14:textId="77777777">
        <w:tc>
          <w:tcPr>
            <w:tcW w:w="2451" w:type="dxa"/>
            <w:shd w:val="clear" w:color="auto" w:fill="auto"/>
          </w:tcPr>
          <w:p w14:paraId="29C3DFC8" w14:textId="77777777" w:rsidR="00E67B7A" w:rsidRPr="00905310" w:rsidRDefault="00E67B7A" w:rsidP="00A320E7">
            <w:pPr>
              <w:spacing w:line="360" w:lineRule="auto"/>
              <w:jc w:val="both"/>
              <w:rPr>
                <w:rFonts w:ascii="Arial" w:hAnsi="Arial" w:cs="Arial"/>
                <w:bCs/>
              </w:rPr>
            </w:pPr>
            <w:r w:rsidRPr="00905310">
              <w:rPr>
                <w:rFonts w:ascii="Arial" w:hAnsi="Arial" w:cs="Arial"/>
                <w:bCs/>
              </w:rPr>
              <w:t>2018/19</w:t>
            </w:r>
          </w:p>
        </w:tc>
        <w:tc>
          <w:tcPr>
            <w:tcW w:w="2535" w:type="dxa"/>
            <w:shd w:val="clear" w:color="auto" w:fill="auto"/>
          </w:tcPr>
          <w:p w14:paraId="5A6CBD11" w14:textId="77777777" w:rsidR="00E67B7A" w:rsidRPr="00905310" w:rsidRDefault="00E67B7A" w:rsidP="00A320E7">
            <w:pPr>
              <w:spacing w:line="360" w:lineRule="auto"/>
              <w:jc w:val="both"/>
              <w:rPr>
                <w:rFonts w:ascii="Arial" w:hAnsi="Arial" w:cs="Arial"/>
                <w:bCs/>
              </w:rPr>
            </w:pPr>
            <w:r w:rsidRPr="00905310">
              <w:rPr>
                <w:rFonts w:ascii="Arial" w:hAnsi="Arial" w:cs="Arial"/>
                <w:bCs/>
              </w:rPr>
              <w:t xml:space="preserve">73.5% (1636 / 2225) </w:t>
            </w:r>
          </w:p>
        </w:tc>
        <w:tc>
          <w:tcPr>
            <w:tcW w:w="2490" w:type="dxa"/>
            <w:shd w:val="clear" w:color="auto" w:fill="auto"/>
          </w:tcPr>
          <w:p w14:paraId="189E24F9" w14:textId="77777777" w:rsidR="00E67B7A" w:rsidRPr="00905310" w:rsidRDefault="00E67B7A" w:rsidP="00A320E7">
            <w:pPr>
              <w:spacing w:line="360" w:lineRule="auto"/>
              <w:jc w:val="both"/>
              <w:rPr>
                <w:rFonts w:ascii="Arial" w:hAnsi="Arial" w:cs="Arial"/>
                <w:bCs/>
              </w:rPr>
            </w:pPr>
            <w:r w:rsidRPr="00905310">
              <w:rPr>
                <w:rFonts w:ascii="Arial" w:hAnsi="Arial" w:cs="Arial"/>
                <w:bCs/>
              </w:rPr>
              <w:t>1914 (1328 / 586)</w:t>
            </w:r>
          </w:p>
        </w:tc>
        <w:tc>
          <w:tcPr>
            <w:tcW w:w="2100" w:type="dxa"/>
            <w:shd w:val="clear" w:color="auto" w:fill="auto"/>
          </w:tcPr>
          <w:p w14:paraId="05FD183D" w14:textId="77777777" w:rsidR="00E67B7A" w:rsidRPr="00905310" w:rsidRDefault="00E67B7A" w:rsidP="00A320E7">
            <w:pPr>
              <w:spacing w:line="360" w:lineRule="auto"/>
              <w:jc w:val="both"/>
              <w:rPr>
                <w:rFonts w:ascii="Arial" w:hAnsi="Arial" w:cs="Arial"/>
                <w:bCs/>
              </w:rPr>
            </w:pPr>
            <w:r w:rsidRPr="00905310">
              <w:rPr>
                <w:rFonts w:ascii="Arial" w:hAnsi="Arial" w:cs="Arial"/>
                <w:bCs/>
              </w:rPr>
              <w:t>86%</w:t>
            </w:r>
          </w:p>
        </w:tc>
      </w:tr>
      <w:tr w:rsidR="00E67B7A" w:rsidRPr="00905310" w14:paraId="347A8F34" w14:textId="77777777">
        <w:tc>
          <w:tcPr>
            <w:tcW w:w="2451" w:type="dxa"/>
            <w:shd w:val="clear" w:color="auto" w:fill="auto"/>
          </w:tcPr>
          <w:p w14:paraId="23A27217" w14:textId="77777777" w:rsidR="00E67B7A" w:rsidRPr="00905310" w:rsidRDefault="00E67B7A" w:rsidP="00A320E7">
            <w:pPr>
              <w:spacing w:line="360" w:lineRule="auto"/>
              <w:jc w:val="both"/>
              <w:rPr>
                <w:rFonts w:ascii="Arial" w:hAnsi="Arial" w:cs="Arial"/>
                <w:bCs/>
              </w:rPr>
            </w:pPr>
            <w:r w:rsidRPr="00905310">
              <w:rPr>
                <w:rFonts w:ascii="Arial" w:hAnsi="Arial" w:cs="Arial"/>
                <w:bCs/>
              </w:rPr>
              <w:t>2019/20</w:t>
            </w:r>
          </w:p>
        </w:tc>
        <w:tc>
          <w:tcPr>
            <w:tcW w:w="2535" w:type="dxa"/>
            <w:shd w:val="clear" w:color="auto" w:fill="auto"/>
          </w:tcPr>
          <w:p w14:paraId="29FFAC15" w14:textId="77777777" w:rsidR="00E67B7A" w:rsidRPr="00905310" w:rsidRDefault="00E67B7A" w:rsidP="00A320E7">
            <w:pPr>
              <w:spacing w:line="360" w:lineRule="auto"/>
              <w:jc w:val="both"/>
              <w:rPr>
                <w:rFonts w:ascii="Arial" w:hAnsi="Arial" w:cs="Arial"/>
                <w:bCs/>
              </w:rPr>
            </w:pPr>
            <w:r w:rsidRPr="00905310">
              <w:rPr>
                <w:rFonts w:ascii="Arial" w:hAnsi="Arial" w:cs="Arial"/>
                <w:bCs/>
              </w:rPr>
              <w:t xml:space="preserve">74.9% (1408 / </w:t>
            </w:r>
            <w:r w:rsidR="00AE6270" w:rsidRPr="00905310">
              <w:rPr>
                <w:rFonts w:ascii="Arial" w:hAnsi="Arial" w:cs="Arial"/>
                <w:bCs/>
              </w:rPr>
              <w:t>1881)</w:t>
            </w:r>
          </w:p>
        </w:tc>
        <w:tc>
          <w:tcPr>
            <w:tcW w:w="2490" w:type="dxa"/>
            <w:shd w:val="clear" w:color="auto" w:fill="auto"/>
          </w:tcPr>
          <w:p w14:paraId="50795F4B" w14:textId="77777777" w:rsidR="00E67B7A" w:rsidRPr="00905310" w:rsidRDefault="00AE6270" w:rsidP="00A320E7">
            <w:pPr>
              <w:spacing w:line="360" w:lineRule="auto"/>
              <w:jc w:val="both"/>
              <w:rPr>
                <w:rFonts w:ascii="Arial" w:hAnsi="Arial" w:cs="Arial"/>
                <w:bCs/>
              </w:rPr>
            </w:pPr>
            <w:r w:rsidRPr="00905310">
              <w:rPr>
                <w:rFonts w:ascii="Arial" w:hAnsi="Arial" w:cs="Arial"/>
                <w:bCs/>
              </w:rPr>
              <w:t>1628 (1156 / 472)</w:t>
            </w:r>
          </w:p>
        </w:tc>
        <w:tc>
          <w:tcPr>
            <w:tcW w:w="2100" w:type="dxa"/>
            <w:shd w:val="clear" w:color="auto" w:fill="auto"/>
          </w:tcPr>
          <w:p w14:paraId="5B49ACE4" w14:textId="77777777" w:rsidR="00E67B7A" w:rsidRPr="00905310" w:rsidRDefault="00AE6270" w:rsidP="00A320E7">
            <w:pPr>
              <w:spacing w:line="360" w:lineRule="auto"/>
              <w:jc w:val="both"/>
              <w:rPr>
                <w:rFonts w:ascii="Arial" w:hAnsi="Arial" w:cs="Arial"/>
                <w:bCs/>
              </w:rPr>
            </w:pPr>
            <w:r w:rsidRPr="00905310">
              <w:rPr>
                <w:rFonts w:ascii="Arial" w:hAnsi="Arial" w:cs="Arial"/>
                <w:bCs/>
              </w:rPr>
              <w:t>86.5%</w:t>
            </w:r>
          </w:p>
        </w:tc>
      </w:tr>
      <w:tr w:rsidR="00E67B7A" w:rsidRPr="00905310" w14:paraId="25FB5B2A" w14:textId="77777777">
        <w:tc>
          <w:tcPr>
            <w:tcW w:w="2451" w:type="dxa"/>
            <w:shd w:val="clear" w:color="auto" w:fill="auto"/>
          </w:tcPr>
          <w:p w14:paraId="5CD498B4" w14:textId="77777777" w:rsidR="00E67B7A" w:rsidRPr="00905310" w:rsidRDefault="00E67B7A" w:rsidP="00A320E7">
            <w:pPr>
              <w:spacing w:line="360" w:lineRule="auto"/>
              <w:jc w:val="both"/>
              <w:rPr>
                <w:rFonts w:ascii="Arial" w:hAnsi="Arial" w:cs="Arial"/>
                <w:bCs/>
              </w:rPr>
            </w:pPr>
            <w:r w:rsidRPr="00905310">
              <w:rPr>
                <w:rFonts w:ascii="Arial" w:hAnsi="Arial" w:cs="Arial"/>
                <w:bCs/>
              </w:rPr>
              <w:t>2020/21</w:t>
            </w:r>
            <w:r w:rsidR="00AE6270" w:rsidRPr="00905310">
              <w:rPr>
                <w:rFonts w:ascii="Arial" w:hAnsi="Arial" w:cs="Arial"/>
                <w:bCs/>
              </w:rPr>
              <w:t>*</w:t>
            </w:r>
          </w:p>
        </w:tc>
        <w:tc>
          <w:tcPr>
            <w:tcW w:w="2535" w:type="dxa"/>
            <w:shd w:val="clear" w:color="auto" w:fill="auto"/>
          </w:tcPr>
          <w:p w14:paraId="62F310EC" w14:textId="77777777" w:rsidR="00E67B7A" w:rsidRPr="00905310" w:rsidRDefault="00AE6270" w:rsidP="00A320E7">
            <w:pPr>
              <w:spacing w:line="360" w:lineRule="auto"/>
              <w:jc w:val="both"/>
              <w:rPr>
                <w:rFonts w:ascii="Arial" w:hAnsi="Arial" w:cs="Arial"/>
                <w:bCs/>
              </w:rPr>
            </w:pPr>
            <w:r w:rsidRPr="00905310">
              <w:rPr>
                <w:rFonts w:ascii="Arial" w:hAnsi="Arial" w:cs="Arial"/>
                <w:bCs/>
              </w:rPr>
              <w:t>73.9% (734 / 993)</w:t>
            </w:r>
          </w:p>
        </w:tc>
        <w:tc>
          <w:tcPr>
            <w:tcW w:w="2490" w:type="dxa"/>
            <w:shd w:val="clear" w:color="auto" w:fill="auto"/>
          </w:tcPr>
          <w:p w14:paraId="21DD1E47" w14:textId="77777777" w:rsidR="00E67B7A" w:rsidRPr="00905310" w:rsidRDefault="00AE6270" w:rsidP="00A320E7">
            <w:pPr>
              <w:spacing w:line="360" w:lineRule="auto"/>
              <w:jc w:val="both"/>
              <w:rPr>
                <w:rFonts w:ascii="Arial" w:hAnsi="Arial" w:cs="Arial"/>
                <w:bCs/>
              </w:rPr>
            </w:pPr>
            <w:r w:rsidRPr="00905310">
              <w:rPr>
                <w:rFonts w:ascii="Arial" w:hAnsi="Arial" w:cs="Arial"/>
                <w:bCs/>
              </w:rPr>
              <w:t>858 (604 / 254)</w:t>
            </w:r>
          </w:p>
        </w:tc>
        <w:tc>
          <w:tcPr>
            <w:tcW w:w="2100" w:type="dxa"/>
            <w:shd w:val="clear" w:color="auto" w:fill="auto"/>
          </w:tcPr>
          <w:p w14:paraId="3ADF5CE4" w14:textId="77777777" w:rsidR="00E67B7A" w:rsidRPr="00905310" w:rsidRDefault="00AE6270" w:rsidP="00A320E7">
            <w:pPr>
              <w:spacing w:line="360" w:lineRule="auto"/>
              <w:jc w:val="both"/>
              <w:rPr>
                <w:rFonts w:ascii="Arial" w:hAnsi="Arial" w:cs="Arial"/>
                <w:bCs/>
              </w:rPr>
            </w:pPr>
            <w:r w:rsidRPr="00905310">
              <w:rPr>
                <w:rFonts w:ascii="Arial" w:hAnsi="Arial" w:cs="Arial"/>
                <w:bCs/>
              </w:rPr>
              <w:t>86.4%</w:t>
            </w:r>
          </w:p>
        </w:tc>
      </w:tr>
      <w:tr w:rsidR="00E67B7A" w:rsidRPr="00905310" w14:paraId="0275D52B" w14:textId="77777777">
        <w:tc>
          <w:tcPr>
            <w:tcW w:w="2451" w:type="dxa"/>
            <w:shd w:val="clear" w:color="auto" w:fill="auto"/>
          </w:tcPr>
          <w:p w14:paraId="36E526E9" w14:textId="77777777" w:rsidR="00E67B7A" w:rsidRPr="00905310" w:rsidRDefault="00E67B7A" w:rsidP="00A320E7">
            <w:pPr>
              <w:spacing w:line="360" w:lineRule="auto"/>
              <w:jc w:val="both"/>
              <w:rPr>
                <w:rFonts w:ascii="Arial" w:hAnsi="Arial" w:cs="Arial"/>
                <w:bCs/>
              </w:rPr>
            </w:pPr>
            <w:r w:rsidRPr="00905310">
              <w:rPr>
                <w:rFonts w:ascii="Arial" w:hAnsi="Arial" w:cs="Arial"/>
                <w:bCs/>
              </w:rPr>
              <w:t>2021/22</w:t>
            </w:r>
          </w:p>
        </w:tc>
        <w:tc>
          <w:tcPr>
            <w:tcW w:w="2535" w:type="dxa"/>
            <w:shd w:val="clear" w:color="auto" w:fill="auto"/>
          </w:tcPr>
          <w:p w14:paraId="10128B85" w14:textId="77777777" w:rsidR="00E67B7A" w:rsidRPr="00905310" w:rsidRDefault="00AE6270" w:rsidP="00A320E7">
            <w:pPr>
              <w:spacing w:line="360" w:lineRule="auto"/>
              <w:jc w:val="both"/>
              <w:rPr>
                <w:rFonts w:ascii="Arial" w:hAnsi="Arial" w:cs="Arial"/>
                <w:bCs/>
              </w:rPr>
            </w:pPr>
            <w:r w:rsidRPr="00905310">
              <w:rPr>
                <w:rFonts w:ascii="Arial" w:hAnsi="Arial" w:cs="Arial"/>
                <w:bCs/>
              </w:rPr>
              <w:t>76.7% (1033 / 1346)</w:t>
            </w:r>
          </w:p>
        </w:tc>
        <w:tc>
          <w:tcPr>
            <w:tcW w:w="2490" w:type="dxa"/>
            <w:shd w:val="clear" w:color="auto" w:fill="auto"/>
          </w:tcPr>
          <w:p w14:paraId="327F1CBF" w14:textId="77777777" w:rsidR="00E67B7A" w:rsidRPr="00905310" w:rsidRDefault="00AE6270" w:rsidP="00A320E7">
            <w:pPr>
              <w:spacing w:line="360" w:lineRule="auto"/>
              <w:jc w:val="both"/>
              <w:rPr>
                <w:rFonts w:ascii="Arial" w:hAnsi="Arial" w:cs="Arial"/>
                <w:bCs/>
              </w:rPr>
            </w:pPr>
            <w:r w:rsidRPr="00905310">
              <w:rPr>
                <w:rFonts w:ascii="Arial" w:hAnsi="Arial" w:cs="Arial"/>
                <w:bCs/>
              </w:rPr>
              <w:t>1080 (789 / 291)</w:t>
            </w:r>
          </w:p>
        </w:tc>
        <w:tc>
          <w:tcPr>
            <w:tcW w:w="2100" w:type="dxa"/>
            <w:shd w:val="clear" w:color="auto" w:fill="auto"/>
          </w:tcPr>
          <w:p w14:paraId="517EA467" w14:textId="77777777" w:rsidR="00E67B7A" w:rsidRPr="00905310" w:rsidRDefault="00AE6270" w:rsidP="00A320E7">
            <w:pPr>
              <w:spacing w:line="360" w:lineRule="auto"/>
              <w:jc w:val="both"/>
              <w:rPr>
                <w:rFonts w:ascii="Arial" w:hAnsi="Arial" w:cs="Arial"/>
                <w:bCs/>
              </w:rPr>
            </w:pPr>
            <w:r w:rsidRPr="00905310">
              <w:rPr>
                <w:rFonts w:ascii="Arial" w:hAnsi="Arial" w:cs="Arial"/>
                <w:bCs/>
              </w:rPr>
              <w:t>80.2%</w:t>
            </w:r>
          </w:p>
        </w:tc>
      </w:tr>
    </w:tbl>
    <w:p w14:paraId="7D7F8C9D" w14:textId="77777777" w:rsidR="00E67B7A" w:rsidRPr="000218FE" w:rsidRDefault="00E67B7A" w:rsidP="00A320E7">
      <w:pPr>
        <w:spacing w:line="360" w:lineRule="auto"/>
        <w:jc w:val="both"/>
        <w:rPr>
          <w:rFonts w:ascii="Arial" w:hAnsi="Arial" w:cs="Arial"/>
          <w:bCs/>
          <w:highlight w:val="yellow"/>
        </w:rPr>
      </w:pPr>
    </w:p>
    <w:p w14:paraId="21425382" w14:textId="77777777" w:rsidR="00485166" w:rsidRDefault="00AE6270" w:rsidP="00A320E7">
      <w:pPr>
        <w:spacing w:line="360" w:lineRule="auto"/>
        <w:jc w:val="both"/>
        <w:rPr>
          <w:rFonts w:ascii="Arial" w:hAnsi="Arial" w:cs="Arial"/>
          <w:bCs/>
        </w:rPr>
      </w:pPr>
      <w:r w:rsidRPr="00905310">
        <w:rPr>
          <w:rFonts w:ascii="Arial" w:hAnsi="Arial" w:cs="Arial"/>
          <w:bCs/>
        </w:rPr>
        <w:t xml:space="preserve">*The impact of the </w:t>
      </w:r>
      <w:r w:rsidR="00905310">
        <w:rPr>
          <w:rFonts w:ascii="Arial" w:hAnsi="Arial" w:cs="Arial"/>
          <w:bCs/>
        </w:rPr>
        <w:t>C</w:t>
      </w:r>
      <w:r w:rsidRPr="00905310">
        <w:rPr>
          <w:rFonts w:ascii="Arial" w:hAnsi="Arial" w:cs="Arial"/>
          <w:bCs/>
        </w:rPr>
        <w:t>ovid</w:t>
      </w:r>
      <w:r w:rsidR="00905310">
        <w:rPr>
          <w:rFonts w:ascii="Arial" w:hAnsi="Arial" w:cs="Arial"/>
          <w:bCs/>
        </w:rPr>
        <w:t>-19</w:t>
      </w:r>
      <w:r w:rsidRPr="00905310">
        <w:rPr>
          <w:rFonts w:ascii="Arial" w:hAnsi="Arial" w:cs="Arial"/>
          <w:bCs/>
        </w:rPr>
        <w:t xml:space="preserve"> pandemic resulted in less court hours and less cases prosecuted due to Disaster Management Act restrictions which limited the courts in their operations. However, </w:t>
      </w:r>
      <w:r w:rsidR="00905310">
        <w:rPr>
          <w:rFonts w:ascii="Arial" w:hAnsi="Arial" w:cs="Arial"/>
          <w:bCs/>
        </w:rPr>
        <w:t>the 2021/22 financial year</w:t>
      </w:r>
      <w:r w:rsidRPr="00905310">
        <w:rPr>
          <w:rFonts w:ascii="Arial" w:hAnsi="Arial" w:cs="Arial"/>
          <w:bCs/>
        </w:rPr>
        <w:t xml:space="preserve"> </w:t>
      </w:r>
      <w:r w:rsidR="00905310">
        <w:rPr>
          <w:rFonts w:ascii="Arial" w:hAnsi="Arial" w:cs="Arial"/>
          <w:bCs/>
        </w:rPr>
        <w:t>return</w:t>
      </w:r>
      <w:r w:rsidRPr="00905310">
        <w:rPr>
          <w:rFonts w:ascii="Arial" w:hAnsi="Arial" w:cs="Arial"/>
          <w:bCs/>
        </w:rPr>
        <w:t xml:space="preserve">ed an increase of 35.5% in </w:t>
      </w:r>
      <w:r w:rsidR="00485166" w:rsidRPr="00905310">
        <w:rPr>
          <w:rFonts w:ascii="Arial" w:hAnsi="Arial" w:cs="Arial"/>
          <w:bCs/>
        </w:rPr>
        <w:t>court performance</w:t>
      </w:r>
      <w:r w:rsidR="00905310">
        <w:rPr>
          <w:rFonts w:ascii="Arial" w:hAnsi="Arial" w:cs="Arial"/>
          <w:bCs/>
        </w:rPr>
        <w:t xml:space="preserve"> compared to the previous year</w:t>
      </w:r>
      <w:r w:rsidR="00485166" w:rsidRPr="00905310">
        <w:rPr>
          <w:rFonts w:ascii="Arial" w:hAnsi="Arial" w:cs="Arial"/>
          <w:bCs/>
        </w:rPr>
        <w:t xml:space="preserve"> regarding the number of </w:t>
      </w:r>
      <w:r w:rsidRPr="00905310">
        <w:rPr>
          <w:rFonts w:ascii="Arial" w:hAnsi="Arial" w:cs="Arial"/>
          <w:bCs/>
        </w:rPr>
        <w:t>TCC-cases being finali</w:t>
      </w:r>
      <w:r w:rsidR="00905310">
        <w:rPr>
          <w:rFonts w:ascii="Arial" w:hAnsi="Arial" w:cs="Arial"/>
          <w:bCs/>
        </w:rPr>
        <w:t>s</w:t>
      </w:r>
      <w:r w:rsidRPr="00905310">
        <w:rPr>
          <w:rFonts w:ascii="Arial" w:hAnsi="Arial" w:cs="Arial"/>
          <w:bCs/>
        </w:rPr>
        <w:t xml:space="preserve">ed </w:t>
      </w:r>
      <w:r w:rsidR="00905310">
        <w:rPr>
          <w:rFonts w:ascii="Arial" w:hAnsi="Arial" w:cs="Arial"/>
          <w:bCs/>
        </w:rPr>
        <w:t>in</w:t>
      </w:r>
      <w:r w:rsidRPr="00905310">
        <w:rPr>
          <w:rFonts w:ascii="Arial" w:hAnsi="Arial" w:cs="Arial"/>
          <w:bCs/>
        </w:rPr>
        <w:t xml:space="preserve"> court</w:t>
      </w:r>
      <w:r w:rsidR="00485166" w:rsidRPr="00905310">
        <w:rPr>
          <w:rFonts w:ascii="Arial" w:hAnsi="Arial" w:cs="Arial"/>
          <w:bCs/>
        </w:rPr>
        <w:t>.</w:t>
      </w:r>
      <w:r w:rsidR="00485166">
        <w:rPr>
          <w:rFonts w:ascii="Arial" w:hAnsi="Arial" w:cs="Arial"/>
          <w:bCs/>
        </w:rPr>
        <w:t xml:space="preserve"> </w:t>
      </w:r>
    </w:p>
    <w:p w14:paraId="088A5EFF" w14:textId="77777777" w:rsidR="0087303B" w:rsidRDefault="00AE6270" w:rsidP="00A320E7">
      <w:pPr>
        <w:spacing w:line="360" w:lineRule="auto"/>
        <w:jc w:val="both"/>
        <w:rPr>
          <w:rFonts w:ascii="Arial" w:hAnsi="Arial" w:cs="Arial"/>
          <w:bCs/>
        </w:rPr>
      </w:pPr>
      <w:r>
        <w:rPr>
          <w:rFonts w:ascii="Arial" w:hAnsi="Arial" w:cs="Arial"/>
          <w:bCs/>
        </w:rPr>
        <w:t xml:space="preserve">       </w:t>
      </w:r>
    </w:p>
    <w:p w14:paraId="3F6B1C07" w14:textId="77777777" w:rsidR="00347320" w:rsidRDefault="00347320" w:rsidP="00F77DB4">
      <w:pPr>
        <w:numPr>
          <w:ilvl w:val="0"/>
          <w:numId w:val="8"/>
        </w:numPr>
        <w:spacing w:line="360" w:lineRule="auto"/>
        <w:jc w:val="both"/>
        <w:rPr>
          <w:rFonts w:ascii="Arial" w:hAnsi="Arial" w:cs="Arial"/>
          <w:bCs/>
        </w:rPr>
      </w:pPr>
      <w:r>
        <w:rPr>
          <w:rFonts w:ascii="Arial" w:hAnsi="Arial" w:cs="Arial"/>
          <w:bCs/>
        </w:rPr>
        <w:t>Various factors</w:t>
      </w:r>
      <w:r w:rsidR="009D2B1A">
        <w:rPr>
          <w:rFonts w:ascii="Arial" w:hAnsi="Arial" w:cs="Arial"/>
          <w:bCs/>
        </w:rPr>
        <w:t xml:space="preserve"> are </w:t>
      </w:r>
      <w:proofErr w:type="gramStart"/>
      <w:r w:rsidR="009D2B1A">
        <w:rPr>
          <w:rFonts w:ascii="Arial" w:hAnsi="Arial" w:cs="Arial"/>
          <w:bCs/>
        </w:rPr>
        <w:t>taken into account</w:t>
      </w:r>
      <w:proofErr w:type="gramEnd"/>
      <w:r w:rsidR="009D2B1A">
        <w:rPr>
          <w:rFonts w:ascii="Arial" w:hAnsi="Arial" w:cs="Arial"/>
          <w:bCs/>
        </w:rPr>
        <w:t xml:space="preserve"> collectively by the court and thus no list</w:t>
      </w:r>
      <w:r>
        <w:rPr>
          <w:rFonts w:ascii="Arial" w:hAnsi="Arial" w:cs="Arial"/>
          <w:bCs/>
        </w:rPr>
        <w:t xml:space="preserve"> can be regarded as a finite list because the acquittal of cases depends on </w:t>
      </w:r>
      <w:r w:rsidR="009D2B1A">
        <w:rPr>
          <w:rFonts w:ascii="Arial" w:hAnsi="Arial" w:cs="Arial"/>
          <w:bCs/>
        </w:rPr>
        <w:t xml:space="preserve">these </w:t>
      </w:r>
      <w:r>
        <w:rPr>
          <w:rFonts w:ascii="Arial" w:hAnsi="Arial" w:cs="Arial"/>
          <w:bCs/>
        </w:rPr>
        <w:t>various factors based on the</w:t>
      </w:r>
      <w:r w:rsidR="009D2B1A">
        <w:rPr>
          <w:rFonts w:ascii="Arial" w:hAnsi="Arial" w:cs="Arial"/>
          <w:bCs/>
        </w:rPr>
        <w:t xml:space="preserve"> impact and consideration by the court of the importance of each of such factors which can seldom if ever, be quantified.</w:t>
      </w:r>
    </w:p>
    <w:p w14:paraId="0B1F05A6" w14:textId="77777777" w:rsidR="00347320" w:rsidRDefault="00347320" w:rsidP="00A320E7">
      <w:pPr>
        <w:spacing w:line="360" w:lineRule="auto"/>
        <w:jc w:val="both"/>
        <w:rPr>
          <w:rFonts w:ascii="Arial" w:hAnsi="Arial" w:cs="Arial"/>
          <w:bCs/>
        </w:rPr>
      </w:pPr>
    </w:p>
    <w:p w14:paraId="40286142" w14:textId="77777777" w:rsidR="009C6997" w:rsidRDefault="009C6997" w:rsidP="00F77DB4">
      <w:pPr>
        <w:numPr>
          <w:ilvl w:val="0"/>
          <w:numId w:val="8"/>
        </w:numPr>
        <w:spacing w:line="360" w:lineRule="auto"/>
        <w:jc w:val="both"/>
        <w:rPr>
          <w:rFonts w:ascii="Arial" w:hAnsi="Arial" w:cs="Arial"/>
          <w:bCs/>
        </w:rPr>
      </w:pPr>
      <w:r w:rsidRPr="00CD1DD2">
        <w:rPr>
          <w:rFonts w:ascii="Arial" w:hAnsi="Arial" w:cs="Arial"/>
          <w:bCs/>
        </w:rPr>
        <w:t>On a broad level</w:t>
      </w:r>
      <w:r w:rsidR="00DC55FE">
        <w:rPr>
          <w:rFonts w:ascii="Arial" w:hAnsi="Arial" w:cs="Arial"/>
          <w:bCs/>
        </w:rPr>
        <w:t>, below</w:t>
      </w:r>
      <w:r w:rsidRPr="00CD1DD2">
        <w:rPr>
          <w:rFonts w:ascii="Arial" w:hAnsi="Arial" w:cs="Arial"/>
          <w:bCs/>
        </w:rPr>
        <w:t xml:space="preserve"> are </w:t>
      </w:r>
      <w:r w:rsidR="00DC55FE">
        <w:rPr>
          <w:rFonts w:ascii="Arial" w:hAnsi="Arial" w:cs="Arial"/>
          <w:bCs/>
        </w:rPr>
        <w:t xml:space="preserve">the </w:t>
      </w:r>
      <w:r w:rsidRPr="00CD1DD2">
        <w:rPr>
          <w:rFonts w:ascii="Arial" w:hAnsi="Arial" w:cs="Arial"/>
          <w:bCs/>
        </w:rPr>
        <w:t>possible reasons that will result in an acquittal of these cases in court:</w:t>
      </w:r>
      <w:r>
        <w:rPr>
          <w:rFonts w:ascii="Arial" w:hAnsi="Arial" w:cs="Arial"/>
          <w:bCs/>
        </w:rPr>
        <w:t xml:space="preserve">  </w:t>
      </w:r>
    </w:p>
    <w:p w14:paraId="68280467" w14:textId="77777777" w:rsidR="009C6997" w:rsidRDefault="00347320" w:rsidP="00A320E7">
      <w:pPr>
        <w:numPr>
          <w:ilvl w:val="0"/>
          <w:numId w:val="5"/>
        </w:numPr>
        <w:spacing w:line="360" w:lineRule="auto"/>
        <w:jc w:val="both"/>
        <w:rPr>
          <w:rFonts w:ascii="Arial" w:hAnsi="Arial" w:cs="Arial"/>
          <w:bCs/>
        </w:rPr>
      </w:pPr>
      <w:r>
        <w:rPr>
          <w:rFonts w:ascii="Arial" w:hAnsi="Arial" w:cs="Arial"/>
          <w:bCs/>
        </w:rPr>
        <w:t>Credibility of witnesses, that include cases where the court is unable to rely on the evidence presented</w:t>
      </w:r>
      <w:r w:rsidR="00DC55FE">
        <w:rPr>
          <w:rFonts w:ascii="Arial" w:hAnsi="Arial" w:cs="Arial"/>
          <w:bCs/>
        </w:rPr>
        <w:t>; and</w:t>
      </w:r>
      <w:r>
        <w:rPr>
          <w:rFonts w:ascii="Arial" w:hAnsi="Arial" w:cs="Arial"/>
          <w:bCs/>
        </w:rPr>
        <w:t xml:space="preserve"> </w:t>
      </w:r>
    </w:p>
    <w:p w14:paraId="623DE50B" w14:textId="77777777" w:rsidR="009C6997" w:rsidRDefault="009C6997" w:rsidP="00A320E7">
      <w:pPr>
        <w:numPr>
          <w:ilvl w:val="0"/>
          <w:numId w:val="5"/>
        </w:numPr>
        <w:spacing w:line="360" w:lineRule="auto"/>
        <w:jc w:val="both"/>
        <w:rPr>
          <w:rFonts w:ascii="Arial" w:hAnsi="Arial" w:cs="Arial"/>
          <w:bCs/>
        </w:rPr>
      </w:pPr>
      <w:r>
        <w:rPr>
          <w:rFonts w:ascii="Arial" w:hAnsi="Arial" w:cs="Arial"/>
          <w:bCs/>
        </w:rPr>
        <w:lastRenderedPageBreak/>
        <w:t>Furthermore, in most of these cases the State relies on a single witness and</w:t>
      </w:r>
      <w:r w:rsidR="00F77DB4">
        <w:rPr>
          <w:rFonts w:ascii="Arial" w:hAnsi="Arial" w:cs="Arial"/>
          <w:bCs/>
        </w:rPr>
        <w:t>/</w:t>
      </w:r>
      <w:r>
        <w:rPr>
          <w:rFonts w:ascii="Arial" w:hAnsi="Arial" w:cs="Arial"/>
          <w:bCs/>
        </w:rPr>
        <w:t>or solely on circumstantial evidence, this present challenges in court which may lead to an acquittal. This will specifically be the position in the absence of any other substantial or corroborating evidence.</w:t>
      </w:r>
    </w:p>
    <w:p w14:paraId="7B88B9F9" w14:textId="77777777" w:rsidR="000218FE" w:rsidRPr="0076775E" w:rsidRDefault="000218FE" w:rsidP="00E42281">
      <w:pPr>
        <w:spacing w:line="360" w:lineRule="auto"/>
        <w:jc w:val="both"/>
        <w:rPr>
          <w:rFonts w:ascii="Arial" w:hAnsi="Arial" w:cs="Arial"/>
          <w:bCs/>
        </w:rPr>
      </w:pPr>
    </w:p>
    <w:sectPr w:rsidR="000218FE" w:rsidRPr="0076775E" w:rsidSect="00A6432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2A49" w14:textId="77777777" w:rsidR="00A44036" w:rsidRDefault="00A44036" w:rsidP="00913892">
      <w:r>
        <w:separator/>
      </w:r>
    </w:p>
  </w:endnote>
  <w:endnote w:type="continuationSeparator" w:id="0">
    <w:p w14:paraId="5965F506" w14:textId="77777777" w:rsidR="00A44036" w:rsidRDefault="00A44036"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24FC" w14:textId="77777777" w:rsidR="00026EC0" w:rsidRDefault="0054211D">
    <w:pPr>
      <w:pStyle w:val="Footer"/>
      <w:pBdr>
        <w:top w:val="single" w:sz="4" w:space="1" w:color="D9D9D9"/>
      </w:pBdr>
      <w:rPr>
        <w:b/>
        <w:bCs/>
      </w:rPr>
    </w:pPr>
    <w:r>
      <w:fldChar w:fldCharType="begin"/>
    </w:r>
    <w:r>
      <w:instrText xml:space="preserve"> PAGE   \* MERGEFORMAT </w:instrText>
    </w:r>
    <w:r>
      <w:fldChar w:fldCharType="separate"/>
    </w:r>
    <w:r w:rsidR="00905F79" w:rsidRPr="00905F79">
      <w:rPr>
        <w:b/>
        <w:bCs/>
        <w:noProof/>
      </w:rPr>
      <w:t>1</w:t>
    </w:r>
    <w:r>
      <w:rPr>
        <w:b/>
        <w:bCs/>
        <w:noProof/>
      </w:rPr>
      <w:fldChar w:fldCharType="end"/>
    </w:r>
    <w:r w:rsidR="00026EC0">
      <w:rPr>
        <w:b/>
        <w:bCs/>
      </w:rPr>
      <w:t xml:space="preserve"> | </w:t>
    </w:r>
    <w:r w:rsidR="00026EC0">
      <w:rPr>
        <w:color w:val="808080"/>
        <w:spacing w:val="60"/>
      </w:rPr>
      <w:t>Page</w:t>
    </w:r>
  </w:p>
  <w:p w14:paraId="4341CC5C" w14:textId="77777777" w:rsidR="00026EC0" w:rsidRDefault="00026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BDA0" w14:textId="77777777" w:rsidR="00A44036" w:rsidRDefault="00A44036" w:rsidP="00913892">
      <w:r>
        <w:separator/>
      </w:r>
    </w:p>
  </w:footnote>
  <w:footnote w:type="continuationSeparator" w:id="0">
    <w:p w14:paraId="2E1DB09C" w14:textId="77777777" w:rsidR="00A44036" w:rsidRDefault="00A44036" w:rsidP="0091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B204F"/>
    <w:multiLevelType w:val="hybridMultilevel"/>
    <w:tmpl w:val="537AF7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6DA2623"/>
    <w:multiLevelType w:val="hybridMultilevel"/>
    <w:tmpl w:val="FEAA6224"/>
    <w:lvl w:ilvl="0" w:tplc="A4D4EE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A647362"/>
    <w:multiLevelType w:val="hybridMultilevel"/>
    <w:tmpl w:val="89F86810"/>
    <w:lvl w:ilvl="0" w:tplc="E9B685C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30D06975"/>
    <w:multiLevelType w:val="hybridMultilevel"/>
    <w:tmpl w:val="0AF2511A"/>
    <w:lvl w:ilvl="0" w:tplc="04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7982AAA"/>
    <w:multiLevelType w:val="hybridMultilevel"/>
    <w:tmpl w:val="FFA4D436"/>
    <w:lvl w:ilvl="0" w:tplc="1C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44F797E"/>
    <w:multiLevelType w:val="hybridMultilevel"/>
    <w:tmpl w:val="EF82D46C"/>
    <w:lvl w:ilvl="0" w:tplc="C70E0EB8">
      <w:start w:val="7"/>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9553311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1453072">
    <w:abstractNumId w:val="0"/>
  </w:num>
  <w:num w:numId="3" w16cid:durableId="1737897542">
    <w:abstractNumId w:val="6"/>
  </w:num>
  <w:num w:numId="4" w16cid:durableId="1711342967">
    <w:abstractNumId w:val="2"/>
  </w:num>
  <w:num w:numId="5" w16cid:durableId="1318534826">
    <w:abstractNumId w:val="5"/>
  </w:num>
  <w:num w:numId="6" w16cid:durableId="776753828">
    <w:abstractNumId w:val="5"/>
  </w:num>
  <w:num w:numId="7" w16cid:durableId="776213110">
    <w:abstractNumId w:val="4"/>
  </w:num>
  <w:num w:numId="8" w16cid:durableId="21121649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5AFD"/>
    <w:rsid w:val="00001C4E"/>
    <w:rsid w:val="000218FE"/>
    <w:rsid w:val="00026EC0"/>
    <w:rsid w:val="00030927"/>
    <w:rsid w:val="0004105D"/>
    <w:rsid w:val="0004190C"/>
    <w:rsid w:val="00046588"/>
    <w:rsid w:val="00052CE2"/>
    <w:rsid w:val="0005378A"/>
    <w:rsid w:val="00070401"/>
    <w:rsid w:val="0007147A"/>
    <w:rsid w:val="00072E1B"/>
    <w:rsid w:val="0007655F"/>
    <w:rsid w:val="00080B73"/>
    <w:rsid w:val="000A3DA5"/>
    <w:rsid w:val="000B4370"/>
    <w:rsid w:val="000B5E45"/>
    <w:rsid w:val="000C01D4"/>
    <w:rsid w:val="000D4F57"/>
    <w:rsid w:val="000D5A5B"/>
    <w:rsid w:val="000D7B82"/>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B36B6"/>
    <w:rsid w:val="001D2E53"/>
    <w:rsid w:val="001D4F07"/>
    <w:rsid w:val="001D6301"/>
    <w:rsid w:val="001E1BE7"/>
    <w:rsid w:val="001F41F3"/>
    <w:rsid w:val="001F445E"/>
    <w:rsid w:val="00203F6A"/>
    <w:rsid w:val="00213182"/>
    <w:rsid w:val="0021549B"/>
    <w:rsid w:val="002269FD"/>
    <w:rsid w:val="00247286"/>
    <w:rsid w:val="00262ACE"/>
    <w:rsid w:val="00281574"/>
    <w:rsid w:val="00284F6A"/>
    <w:rsid w:val="002857B6"/>
    <w:rsid w:val="00286311"/>
    <w:rsid w:val="00291065"/>
    <w:rsid w:val="00295084"/>
    <w:rsid w:val="002A0DB1"/>
    <w:rsid w:val="002A6618"/>
    <w:rsid w:val="002B2B31"/>
    <w:rsid w:val="002B6D18"/>
    <w:rsid w:val="002C398C"/>
    <w:rsid w:val="002C719B"/>
    <w:rsid w:val="002D3F02"/>
    <w:rsid w:val="002D5BF7"/>
    <w:rsid w:val="002D7BBD"/>
    <w:rsid w:val="002E1008"/>
    <w:rsid w:val="002E1C99"/>
    <w:rsid w:val="002E7253"/>
    <w:rsid w:val="002F209D"/>
    <w:rsid w:val="002F22DD"/>
    <w:rsid w:val="003143E7"/>
    <w:rsid w:val="0031652F"/>
    <w:rsid w:val="00322BA4"/>
    <w:rsid w:val="003401CA"/>
    <w:rsid w:val="00342957"/>
    <w:rsid w:val="0034344A"/>
    <w:rsid w:val="00346942"/>
    <w:rsid w:val="00347320"/>
    <w:rsid w:val="0037187E"/>
    <w:rsid w:val="003767D7"/>
    <w:rsid w:val="003771A4"/>
    <w:rsid w:val="00380696"/>
    <w:rsid w:val="00381B64"/>
    <w:rsid w:val="00383858"/>
    <w:rsid w:val="00386CA6"/>
    <w:rsid w:val="00393AD7"/>
    <w:rsid w:val="003A3299"/>
    <w:rsid w:val="003A64C5"/>
    <w:rsid w:val="003A6AD0"/>
    <w:rsid w:val="003B0260"/>
    <w:rsid w:val="003B7CDE"/>
    <w:rsid w:val="003C43F4"/>
    <w:rsid w:val="003C4D22"/>
    <w:rsid w:val="003C5B62"/>
    <w:rsid w:val="003D526D"/>
    <w:rsid w:val="003D780B"/>
    <w:rsid w:val="003E0CEE"/>
    <w:rsid w:val="003F2E8D"/>
    <w:rsid w:val="003F5064"/>
    <w:rsid w:val="003F6245"/>
    <w:rsid w:val="004031F8"/>
    <w:rsid w:val="00417DB4"/>
    <w:rsid w:val="004209E7"/>
    <w:rsid w:val="00422DF6"/>
    <w:rsid w:val="004238B9"/>
    <w:rsid w:val="00431C9F"/>
    <w:rsid w:val="00433C19"/>
    <w:rsid w:val="00436057"/>
    <w:rsid w:val="00436842"/>
    <w:rsid w:val="00437B8C"/>
    <w:rsid w:val="00440FFF"/>
    <w:rsid w:val="00441BD5"/>
    <w:rsid w:val="004443E6"/>
    <w:rsid w:val="00447BA5"/>
    <w:rsid w:val="00456FBB"/>
    <w:rsid w:val="004572CE"/>
    <w:rsid w:val="004602FE"/>
    <w:rsid w:val="00465448"/>
    <w:rsid w:val="00465A51"/>
    <w:rsid w:val="00485166"/>
    <w:rsid w:val="004926BD"/>
    <w:rsid w:val="004B05DA"/>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A42CF"/>
    <w:rsid w:val="005B6209"/>
    <w:rsid w:val="005B7477"/>
    <w:rsid w:val="005D1EEF"/>
    <w:rsid w:val="005E365A"/>
    <w:rsid w:val="005E6608"/>
    <w:rsid w:val="005F267C"/>
    <w:rsid w:val="00600A47"/>
    <w:rsid w:val="00612214"/>
    <w:rsid w:val="00614359"/>
    <w:rsid w:val="006202AF"/>
    <w:rsid w:val="00625CD7"/>
    <w:rsid w:val="00626E7A"/>
    <w:rsid w:val="00630932"/>
    <w:rsid w:val="00631F68"/>
    <w:rsid w:val="00640A4E"/>
    <w:rsid w:val="0065206B"/>
    <w:rsid w:val="00653FE5"/>
    <w:rsid w:val="00661BE2"/>
    <w:rsid w:val="00670788"/>
    <w:rsid w:val="0067545A"/>
    <w:rsid w:val="006959E4"/>
    <w:rsid w:val="00696341"/>
    <w:rsid w:val="006A2EB4"/>
    <w:rsid w:val="006B0F80"/>
    <w:rsid w:val="006C0567"/>
    <w:rsid w:val="006D21F9"/>
    <w:rsid w:val="006D7E71"/>
    <w:rsid w:val="006F00BA"/>
    <w:rsid w:val="006F2454"/>
    <w:rsid w:val="006F63D7"/>
    <w:rsid w:val="00701F13"/>
    <w:rsid w:val="00704E32"/>
    <w:rsid w:val="007057FE"/>
    <w:rsid w:val="00706401"/>
    <w:rsid w:val="00720D4C"/>
    <w:rsid w:val="00724689"/>
    <w:rsid w:val="007261FA"/>
    <w:rsid w:val="00740A5A"/>
    <w:rsid w:val="00745638"/>
    <w:rsid w:val="007540CF"/>
    <w:rsid w:val="00755C22"/>
    <w:rsid w:val="00757E02"/>
    <w:rsid w:val="00760BFE"/>
    <w:rsid w:val="00765301"/>
    <w:rsid w:val="0076775E"/>
    <w:rsid w:val="00774A06"/>
    <w:rsid w:val="00774F8F"/>
    <w:rsid w:val="00777A77"/>
    <w:rsid w:val="0078425B"/>
    <w:rsid w:val="00791471"/>
    <w:rsid w:val="007961D4"/>
    <w:rsid w:val="007B77BB"/>
    <w:rsid w:val="007B7829"/>
    <w:rsid w:val="007C0AC3"/>
    <w:rsid w:val="007C1863"/>
    <w:rsid w:val="007D7A6A"/>
    <w:rsid w:val="007E6925"/>
    <w:rsid w:val="007E7201"/>
    <w:rsid w:val="007F2B0B"/>
    <w:rsid w:val="007F3217"/>
    <w:rsid w:val="008169B8"/>
    <w:rsid w:val="00846897"/>
    <w:rsid w:val="00852F22"/>
    <w:rsid w:val="00856CFA"/>
    <w:rsid w:val="00865132"/>
    <w:rsid w:val="0087303B"/>
    <w:rsid w:val="008769EF"/>
    <w:rsid w:val="00880959"/>
    <w:rsid w:val="00881381"/>
    <w:rsid w:val="00881AB9"/>
    <w:rsid w:val="00892846"/>
    <w:rsid w:val="0089351C"/>
    <w:rsid w:val="008A1398"/>
    <w:rsid w:val="008A1837"/>
    <w:rsid w:val="008B1BCF"/>
    <w:rsid w:val="008B422A"/>
    <w:rsid w:val="008C1A56"/>
    <w:rsid w:val="008D4373"/>
    <w:rsid w:val="008E312C"/>
    <w:rsid w:val="008E78E6"/>
    <w:rsid w:val="008F366F"/>
    <w:rsid w:val="008F6A5A"/>
    <w:rsid w:val="009025C1"/>
    <w:rsid w:val="00905310"/>
    <w:rsid w:val="00905C38"/>
    <w:rsid w:val="00905F79"/>
    <w:rsid w:val="00911E50"/>
    <w:rsid w:val="00913892"/>
    <w:rsid w:val="0092193B"/>
    <w:rsid w:val="009229AD"/>
    <w:rsid w:val="0094372F"/>
    <w:rsid w:val="009527B5"/>
    <w:rsid w:val="009541F2"/>
    <w:rsid w:val="009551F2"/>
    <w:rsid w:val="00973033"/>
    <w:rsid w:val="009761A7"/>
    <w:rsid w:val="00983C6B"/>
    <w:rsid w:val="009868D6"/>
    <w:rsid w:val="0098762D"/>
    <w:rsid w:val="00991A82"/>
    <w:rsid w:val="009A1AC5"/>
    <w:rsid w:val="009A755B"/>
    <w:rsid w:val="009B0CAB"/>
    <w:rsid w:val="009C6997"/>
    <w:rsid w:val="009D2B1A"/>
    <w:rsid w:val="009D4F78"/>
    <w:rsid w:val="009D6016"/>
    <w:rsid w:val="009E0268"/>
    <w:rsid w:val="009E1C96"/>
    <w:rsid w:val="009F17AE"/>
    <w:rsid w:val="009F1B70"/>
    <w:rsid w:val="009F2D5C"/>
    <w:rsid w:val="00A13ABE"/>
    <w:rsid w:val="00A13BBD"/>
    <w:rsid w:val="00A320E7"/>
    <w:rsid w:val="00A42301"/>
    <w:rsid w:val="00A44036"/>
    <w:rsid w:val="00A45D5C"/>
    <w:rsid w:val="00A4711C"/>
    <w:rsid w:val="00A5290F"/>
    <w:rsid w:val="00A5364A"/>
    <w:rsid w:val="00A623F2"/>
    <w:rsid w:val="00A64328"/>
    <w:rsid w:val="00A6432A"/>
    <w:rsid w:val="00A66729"/>
    <w:rsid w:val="00A70AFC"/>
    <w:rsid w:val="00A7136B"/>
    <w:rsid w:val="00AA0C6D"/>
    <w:rsid w:val="00AA2AB0"/>
    <w:rsid w:val="00AA39AC"/>
    <w:rsid w:val="00AD7B7A"/>
    <w:rsid w:val="00AE6270"/>
    <w:rsid w:val="00AF0F1A"/>
    <w:rsid w:val="00AF24E0"/>
    <w:rsid w:val="00AF5D91"/>
    <w:rsid w:val="00B0043C"/>
    <w:rsid w:val="00B01C4E"/>
    <w:rsid w:val="00B021CE"/>
    <w:rsid w:val="00B0386B"/>
    <w:rsid w:val="00B13369"/>
    <w:rsid w:val="00B170EA"/>
    <w:rsid w:val="00B26AB3"/>
    <w:rsid w:val="00B40A2F"/>
    <w:rsid w:val="00B414A9"/>
    <w:rsid w:val="00B46E62"/>
    <w:rsid w:val="00B54B4B"/>
    <w:rsid w:val="00B553A6"/>
    <w:rsid w:val="00B635B4"/>
    <w:rsid w:val="00B65708"/>
    <w:rsid w:val="00B67332"/>
    <w:rsid w:val="00B8345D"/>
    <w:rsid w:val="00B958BA"/>
    <w:rsid w:val="00BA3361"/>
    <w:rsid w:val="00BA3A67"/>
    <w:rsid w:val="00BA61AF"/>
    <w:rsid w:val="00BB53A8"/>
    <w:rsid w:val="00BB7991"/>
    <w:rsid w:val="00BC1021"/>
    <w:rsid w:val="00BC7AFB"/>
    <w:rsid w:val="00BD597B"/>
    <w:rsid w:val="00BD6D36"/>
    <w:rsid w:val="00BD7DCD"/>
    <w:rsid w:val="00BE17FF"/>
    <w:rsid w:val="00BE32B9"/>
    <w:rsid w:val="00BF0672"/>
    <w:rsid w:val="00BF0809"/>
    <w:rsid w:val="00BF738D"/>
    <w:rsid w:val="00C15423"/>
    <w:rsid w:val="00C30D6E"/>
    <w:rsid w:val="00C31057"/>
    <w:rsid w:val="00C331B7"/>
    <w:rsid w:val="00C360AA"/>
    <w:rsid w:val="00C3772F"/>
    <w:rsid w:val="00C41A50"/>
    <w:rsid w:val="00C524E2"/>
    <w:rsid w:val="00C75ACC"/>
    <w:rsid w:val="00C770B6"/>
    <w:rsid w:val="00C77559"/>
    <w:rsid w:val="00C81ABF"/>
    <w:rsid w:val="00C84899"/>
    <w:rsid w:val="00C8589D"/>
    <w:rsid w:val="00C877EE"/>
    <w:rsid w:val="00C904B6"/>
    <w:rsid w:val="00C90886"/>
    <w:rsid w:val="00C95F59"/>
    <w:rsid w:val="00CA5CFA"/>
    <w:rsid w:val="00CB2778"/>
    <w:rsid w:val="00CC235A"/>
    <w:rsid w:val="00CC239F"/>
    <w:rsid w:val="00CC36B4"/>
    <w:rsid w:val="00CC576B"/>
    <w:rsid w:val="00CC7543"/>
    <w:rsid w:val="00CD042D"/>
    <w:rsid w:val="00CD1DD2"/>
    <w:rsid w:val="00CD3DB4"/>
    <w:rsid w:val="00CD4D18"/>
    <w:rsid w:val="00CE0598"/>
    <w:rsid w:val="00CE3066"/>
    <w:rsid w:val="00CE3AA4"/>
    <w:rsid w:val="00CF1B81"/>
    <w:rsid w:val="00CF5F59"/>
    <w:rsid w:val="00D13E58"/>
    <w:rsid w:val="00D15673"/>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A495F"/>
    <w:rsid w:val="00DB11B2"/>
    <w:rsid w:val="00DB3E1B"/>
    <w:rsid w:val="00DC255C"/>
    <w:rsid w:val="00DC55FE"/>
    <w:rsid w:val="00DC592F"/>
    <w:rsid w:val="00DC7CDA"/>
    <w:rsid w:val="00DD6B8E"/>
    <w:rsid w:val="00DE1284"/>
    <w:rsid w:val="00DF2638"/>
    <w:rsid w:val="00E1080E"/>
    <w:rsid w:val="00E10F5C"/>
    <w:rsid w:val="00E128BD"/>
    <w:rsid w:val="00E164DD"/>
    <w:rsid w:val="00E17F42"/>
    <w:rsid w:val="00E21A66"/>
    <w:rsid w:val="00E30F9B"/>
    <w:rsid w:val="00E37DD8"/>
    <w:rsid w:val="00E42281"/>
    <w:rsid w:val="00E44AFC"/>
    <w:rsid w:val="00E52FFC"/>
    <w:rsid w:val="00E55AFD"/>
    <w:rsid w:val="00E570B8"/>
    <w:rsid w:val="00E57229"/>
    <w:rsid w:val="00E67B7A"/>
    <w:rsid w:val="00E72395"/>
    <w:rsid w:val="00E8304D"/>
    <w:rsid w:val="00EA4D5C"/>
    <w:rsid w:val="00EA53D2"/>
    <w:rsid w:val="00EA7A64"/>
    <w:rsid w:val="00EB54FA"/>
    <w:rsid w:val="00EB5C9A"/>
    <w:rsid w:val="00EB7DA1"/>
    <w:rsid w:val="00EC5379"/>
    <w:rsid w:val="00ED072E"/>
    <w:rsid w:val="00ED5CF6"/>
    <w:rsid w:val="00EE1177"/>
    <w:rsid w:val="00EE2D1D"/>
    <w:rsid w:val="00EE6AD6"/>
    <w:rsid w:val="00EF081C"/>
    <w:rsid w:val="00EF2E4B"/>
    <w:rsid w:val="00EF32C9"/>
    <w:rsid w:val="00F17FE4"/>
    <w:rsid w:val="00F20EAD"/>
    <w:rsid w:val="00F220CD"/>
    <w:rsid w:val="00F26B86"/>
    <w:rsid w:val="00F31805"/>
    <w:rsid w:val="00F3487E"/>
    <w:rsid w:val="00F36003"/>
    <w:rsid w:val="00F400F2"/>
    <w:rsid w:val="00F475A6"/>
    <w:rsid w:val="00F5419D"/>
    <w:rsid w:val="00F55893"/>
    <w:rsid w:val="00F56A93"/>
    <w:rsid w:val="00F57120"/>
    <w:rsid w:val="00F60AFA"/>
    <w:rsid w:val="00F63F57"/>
    <w:rsid w:val="00F646C9"/>
    <w:rsid w:val="00F739F4"/>
    <w:rsid w:val="00F77DB4"/>
    <w:rsid w:val="00F81277"/>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B022A3"/>
  <w15:chartTrackingRefBased/>
  <w15:docId w15:val="{2A05DBE1-F554-4B42-817D-C1E96465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614359"/>
    <w:rPr>
      <w:sz w:val="16"/>
      <w:szCs w:val="16"/>
    </w:rPr>
  </w:style>
  <w:style w:type="paragraph" w:styleId="CommentText">
    <w:name w:val="annotation text"/>
    <w:basedOn w:val="Normal"/>
    <w:link w:val="CommentTextChar"/>
    <w:uiPriority w:val="99"/>
    <w:unhideWhenUsed/>
    <w:rsid w:val="00614359"/>
    <w:rPr>
      <w:sz w:val="20"/>
      <w:szCs w:val="20"/>
    </w:rPr>
  </w:style>
  <w:style w:type="character" w:customStyle="1" w:styleId="CommentTextChar">
    <w:name w:val="Comment Text Char"/>
    <w:link w:val="CommentText"/>
    <w:uiPriority w:val="99"/>
    <w:rsid w:val="0061435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14359"/>
    <w:rPr>
      <w:b/>
      <w:bCs/>
    </w:rPr>
  </w:style>
  <w:style w:type="character" w:customStyle="1" w:styleId="CommentSubjectChar">
    <w:name w:val="Comment Subject Char"/>
    <w:link w:val="CommentSubject"/>
    <w:uiPriority w:val="99"/>
    <w:semiHidden/>
    <w:rsid w:val="0061435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362728">
      <w:marLeft w:val="0"/>
      <w:marRight w:val="0"/>
      <w:marTop w:val="0"/>
      <w:marBottom w:val="0"/>
      <w:divBdr>
        <w:top w:val="none" w:sz="0" w:space="0" w:color="auto"/>
        <w:left w:val="none" w:sz="0" w:space="0" w:color="auto"/>
        <w:bottom w:val="none" w:sz="0" w:space="0" w:color="auto"/>
        <w:right w:val="none" w:sz="0" w:space="0" w:color="auto"/>
      </w:divBdr>
    </w:div>
    <w:div w:id="971667408">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4514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8BCA710405C45847E89218BA34F16" ma:contentTypeVersion="9" ma:contentTypeDescription="Create a new document." ma:contentTypeScope="" ma:versionID="e5f5c4c58e62fae68ffdd29a0bacbd63">
  <xsd:schema xmlns:xsd="http://www.w3.org/2001/XMLSchema" xmlns:xs="http://www.w3.org/2001/XMLSchema" xmlns:p="http://schemas.microsoft.com/office/2006/metadata/properties" xmlns:ns3="fa6004b0-8bcc-47c2-b7c1-cdf549c4d790" targetNamespace="http://schemas.microsoft.com/office/2006/metadata/properties" ma:root="true" ma:fieldsID="9ef5a1859fcc7a134a85abf3a52125d4" ns3:_="">
    <xsd:import namespace="fa6004b0-8bcc-47c2-b7c1-cdf549c4d7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04b0-8bcc-47c2-b7c1-cdf549c4d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52019-48EE-43E4-9A95-015EB80C9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04b0-8bcc-47c2-b7c1-cdf549c4d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C4CCF-D6B0-4437-B6EC-4EF44A8E3AEB}">
  <ds:schemaRefs>
    <ds:schemaRef ds:uri="http://schemas.microsoft.com/sharepoint/v3/contenttype/forms"/>
  </ds:schemaRefs>
</ds:datastoreItem>
</file>

<file path=customXml/itemProps3.xml><?xml version="1.0" encoding="utf-8"?>
<ds:datastoreItem xmlns:ds="http://schemas.openxmlformats.org/officeDocument/2006/customXml" ds:itemID="{48BD4E52-4BD5-42F6-B8AF-7D08C3E9C9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Mashaba Miyeleni</dc:creator>
  <cp:keywords/>
  <cp:lastModifiedBy>Nheo Fumba</cp:lastModifiedBy>
  <cp:revision>2</cp:revision>
  <cp:lastPrinted>2016-03-22T09:27:00Z</cp:lastPrinted>
  <dcterms:created xsi:type="dcterms:W3CDTF">2023-05-29T11:32:00Z</dcterms:created>
  <dcterms:modified xsi:type="dcterms:W3CDTF">2023-05-29T11:32:00Z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0x01010041E8BCA710405C45847E89218BA34F16</vt:lpwstr>
  </property>
</Properties>
</file>