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013AC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1254</w:t>
      </w:r>
    </w:p>
    <w:p w:rsidR="006C22EF" w:rsidRPr="00655403" w:rsidRDefault="00013AC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19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7F576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June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013AC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22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1335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July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013AC6" w:rsidRPr="00013AC6" w:rsidRDefault="00013AC6" w:rsidP="00013AC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013AC6">
        <w:rPr>
          <w:rFonts w:ascii="Arial Narrow" w:eastAsia="Calibri" w:hAnsi="Arial Narrow" w:cs="Times New Roman"/>
          <w:b/>
          <w:sz w:val="24"/>
          <w:szCs w:val="24"/>
        </w:rPr>
        <w:t>Mr M S F de Freitas (DA) to ask the Minister of Tourism</w:t>
      </w:r>
      <w:r w:rsidRPr="00013AC6">
        <w:rPr>
          <w:rFonts w:ascii="Arial Narrow" w:eastAsia="Calibri" w:hAnsi="Arial Narrow" w:cs="Times New Roman"/>
          <w:b/>
          <w:sz w:val="24"/>
          <w:szCs w:val="24"/>
        </w:rPr>
        <w:fldChar w:fldCharType="begin"/>
      </w:r>
      <w:r w:rsidRPr="00013AC6">
        <w:rPr>
          <w:rFonts w:ascii="Arial Narrow" w:eastAsia="Calibri" w:hAnsi="Arial Narrow" w:cs="Times New Roman"/>
          <w:sz w:val="24"/>
          <w:szCs w:val="24"/>
        </w:rPr>
        <w:instrText xml:space="preserve"> XE "</w:instrText>
      </w:r>
      <w:r w:rsidRPr="00013AC6">
        <w:rPr>
          <w:rFonts w:ascii="Arial Narrow" w:eastAsia="Calibri" w:hAnsi="Arial Narrow" w:cs="Times New Roman"/>
          <w:b/>
          <w:sz w:val="24"/>
          <w:szCs w:val="24"/>
        </w:rPr>
        <w:instrText>Tourism</w:instrText>
      </w:r>
      <w:r w:rsidRPr="00013AC6">
        <w:rPr>
          <w:rFonts w:ascii="Arial Narrow" w:eastAsia="Calibri" w:hAnsi="Arial Narrow" w:cs="Times New Roman"/>
          <w:sz w:val="24"/>
          <w:szCs w:val="24"/>
        </w:rPr>
        <w:instrText xml:space="preserve">" </w:instrText>
      </w:r>
      <w:r w:rsidRPr="00013AC6">
        <w:rPr>
          <w:rFonts w:ascii="Arial Narrow" w:eastAsia="Calibri" w:hAnsi="Arial Narrow" w:cs="Times New Roman"/>
          <w:b/>
          <w:sz w:val="24"/>
          <w:szCs w:val="24"/>
        </w:rPr>
        <w:fldChar w:fldCharType="end"/>
      </w:r>
      <w:r w:rsidRPr="00013AC6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</w:p>
    <w:p w:rsidR="00013AC6" w:rsidRPr="00013AC6" w:rsidRDefault="00013AC6" w:rsidP="00013AC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13AC6">
        <w:rPr>
          <w:rFonts w:ascii="Arial Narrow" w:eastAsia="Calibri" w:hAnsi="Arial Narrow" w:cs="Times New Roman"/>
          <w:sz w:val="24"/>
          <w:szCs w:val="24"/>
        </w:rPr>
        <w:t>With reference to the National Registrar of Tourist Guides and his/her duties, (a) what efforts have been undertaken to facilitate the growth and development of the tourist guiding sector in each month (</w:t>
      </w:r>
      <w:proofErr w:type="spellStart"/>
      <w:r w:rsidRPr="00013AC6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013AC6">
        <w:rPr>
          <w:rFonts w:ascii="Arial Narrow" w:eastAsia="Calibri" w:hAnsi="Arial Narrow" w:cs="Times New Roman"/>
          <w:sz w:val="24"/>
          <w:szCs w:val="24"/>
        </w:rPr>
        <w:t>) in the past three financial years and (ii) since 1 April 2020 and (b) how were these efforts rolled out and actioned in each case respectively?</w:t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="00D27D2D">
        <w:rPr>
          <w:rFonts w:ascii="Arial Narrow" w:eastAsia="Calibri" w:hAnsi="Arial Narrow" w:cs="Times New Roman"/>
          <w:sz w:val="24"/>
          <w:szCs w:val="24"/>
        </w:rPr>
        <w:tab/>
      </w:r>
      <w:r w:rsidR="00D27D2D">
        <w:rPr>
          <w:rFonts w:ascii="Arial Narrow" w:eastAsia="Calibri" w:hAnsi="Arial Narrow" w:cs="Times New Roman"/>
          <w:sz w:val="24"/>
          <w:szCs w:val="24"/>
        </w:rPr>
        <w:tab/>
      </w:r>
      <w:r w:rsidR="00D27D2D">
        <w:rPr>
          <w:rFonts w:ascii="Arial Narrow" w:eastAsia="Calibri" w:hAnsi="Arial Narrow" w:cs="Times New Roman"/>
          <w:sz w:val="24"/>
          <w:szCs w:val="24"/>
        </w:rPr>
        <w:tab/>
      </w:r>
      <w:r w:rsidRPr="00013AC6">
        <w:rPr>
          <w:rFonts w:ascii="Arial Narrow" w:eastAsia="Calibri" w:hAnsi="Arial Narrow" w:cs="Times New Roman"/>
          <w:sz w:val="24"/>
          <w:szCs w:val="24"/>
        </w:rPr>
        <w:t>NW1620E</w:t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0C3341" w:rsidRDefault="000C334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0C3341" w:rsidRDefault="000C3341" w:rsidP="000C3341">
      <w:pPr>
        <w:pStyle w:val="ListParagraph"/>
        <w:numPr>
          <w:ilvl w:val="0"/>
          <w:numId w:val="13"/>
        </w:numPr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C334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What efforts have been undertaken to facilitate the growth and development of the tourist guiding sector:</w:t>
      </w:r>
    </w:p>
    <w:p w:rsidR="00222E91" w:rsidRPr="000C3341" w:rsidRDefault="00222E91" w:rsidP="00222E91">
      <w:pPr>
        <w:pStyle w:val="ListParagraph"/>
        <w:ind w:left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0C3341" w:rsidRPr="00222E91" w:rsidRDefault="002356C5" w:rsidP="00222E91">
      <w:pPr>
        <w:pStyle w:val="ListParagraph"/>
        <w:ind w:left="567"/>
        <w:rPr>
          <w:rFonts w:ascii="Arial Narrow" w:hAnsi="Arial Narrow" w:cs="Segoe UI"/>
          <w:color w:val="353838"/>
          <w:sz w:val="24"/>
          <w:szCs w:val="24"/>
        </w:rPr>
      </w:pPr>
      <w:r w:rsidRPr="002356C5">
        <w:rPr>
          <w:rFonts w:ascii="Arial Narrow" w:hAnsi="Arial Narrow" w:cs="Segoe UI"/>
          <w:color w:val="353838"/>
          <w:sz w:val="24"/>
          <w:szCs w:val="24"/>
        </w:rPr>
        <w:t>The initiatives that the department has implemented in terms of </w:t>
      </w:r>
      <w:r w:rsidRPr="00222E91">
        <w:rPr>
          <w:rStyle w:val="Strong"/>
          <w:rFonts w:ascii="Arial Narrow" w:hAnsi="Arial Narrow" w:cs="Segoe UI"/>
          <w:b w:val="0"/>
          <w:color w:val="353838"/>
          <w:sz w:val="24"/>
          <w:szCs w:val="24"/>
        </w:rPr>
        <w:t>promoting and developing the guiding sector</w:t>
      </w:r>
      <w:r w:rsidRPr="00222E91">
        <w:rPr>
          <w:rFonts w:ascii="Arial Narrow" w:hAnsi="Arial Narrow" w:cs="Segoe UI"/>
          <w:color w:val="353838"/>
          <w:sz w:val="24"/>
          <w:szCs w:val="24"/>
        </w:rPr>
        <w:t> are individual projects that run over a financial year rather than on a monthly basis.</w:t>
      </w:r>
    </w:p>
    <w:p w:rsidR="002356C5" w:rsidRPr="00222E91" w:rsidRDefault="002356C5" w:rsidP="002356C5">
      <w:pPr>
        <w:pStyle w:val="ListParagrap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C3341" w:rsidRPr="008A7A9A" w:rsidRDefault="000C3341" w:rsidP="000C3341">
      <w:pPr>
        <w:pStyle w:val="ListParagraph"/>
        <w:numPr>
          <w:ilvl w:val="0"/>
          <w:numId w:val="11"/>
        </w:numPr>
        <w:spacing w:line="360" w:lineRule="auto"/>
        <w:ind w:left="993" w:hanging="426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A7A9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In the past three financial years</w:t>
      </w:r>
      <w:r w:rsidR="0047408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:</w:t>
      </w:r>
    </w:p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1707"/>
        <w:gridCol w:w="7371"/>
      </w:tblGrid>
      <w:tr w:rsidR="00CF59FE" w:rsidRPr="002F48DA" w:rsidTr="002356C5">
        <w:trPr>
          <w:tblHeader/>
        </w:trPr>
        <w:tc>
          <w:tcPr>
            <w:tcW w:w="1707" w:type="dxa"/>
            <w:shd w:val="clear" w:color="auto" w:fill="D9D9D9" w:themeFill="background1" w:themeFillShade="D9"/>
          </w:tcPr>
          <w:p w:rsidR="00CF59FE" w:rsidRPr="002F48DA" w:rsidRDefault="00C1703C" w:rsidP="002356C5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Year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F59FE" w:rsidRPr="002F48DA" w:rsidRDefault="00EA3539" w:rsidP="002356C5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Facilitation of growth and development of the tourist guiding sector</w:t>
            </w:r>
          </w:p>
        </w:tc>
      </w:tr>
      <w:tr w:rsidR="00CF59FE" w:rsidTr="002356C5">
        <w:tc>
          <w:tcPr>
            <w:tcW w:w="1707" w:type="dxa"/>
          </w:tcPr>
          <w:p w:rsidR="00CF59FE" w:rsidRPr="002F48DA" w:rsidRDefault="00C1703C" w:rsidP="002356C5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2017/2018</w:t>
            </w:r>
          </w:p>
        </w:tc>
        <w:tc>
          <w:tcPr>
            <w:tcW w:w="7371" w:type="dxa"/>
          </w:tcPr>
          <w:p w:rsidR="004D7D0B" w:rsidRPr="006F5743" w:rsidRDefault="004D7D0B" w:rsidP="002356C5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6F574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Implemented training and up-skilling initiatives as follows:</w:t>
            </w:r>
          </w:p>
          <w:p w:rsidR="00CF59FE" w:rsidRPr="006F5743" w:rsidRDefault="00A1688D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6F574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Adventure Guiding (NQF2) in Northern Cape</w:t>
            </w:r>
          </w:p>
          <w:p w:rsidR="00A1688D" w:rsidRDefault="00A1688D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A1688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Culture Guiding (NQF2)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Northern Cape</w:t>
            </w:r>
          </w:p>
          <w:p w:rsidR="00A1688D" w:rsidRDefault="00A1688D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A1688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Culture Guiding (NQF2)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North West</w:t>
            </w:r>
          </w:p>
          <w:p w:rsidR="00A1688D" w:rsidRDefault="00A1688D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A1688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lastRenderedPageBreak/>
              <w:t>Adventure Guiding (NQF4)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KwaZulu-Natal</w:t>
            </w:r>
          </w:p>
          <w:p w:rsidR="00A1688D" w:rsidRDefault="00A1688D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A1688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Culture Guiding (NQF2) &amp; Customer Service Training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Limpopo</w:t>
            </w:r>
          </w:p>
        </w:tc>
      </w:tr>
      <w:tr w:rsidR="00CF59FE" w:rsidTr="002356C5">
        <w:tc>
          <w:tcPr>
            <w:tcW w:w="1707" w:type="dxa"/>
          </w:tcPr>
          <w:p w:rsidR="00CF59FE" w:rsidRPr="002F48DA" w:rsidRDefault="00C1703C" w:rsidP="002356C5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lastRenderedPageBreak/>
              <w:t>2018/2019</w:t>
            </w:r>
          </w:p>
        </w:tc>
        <w:tc>
          <w:tcPr>
            <w:tcW w:w="7371" w:type="dxa"/>
          </w:tcPr>
          <w:p w:rsidR="004D7D0B" w:rsidRDefault="004D7D0B" w:rsidP="002356C5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D7D0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Implemented training and up-skilling initiatives as follows:</w:t>
            </w:r>
          </w:p>
          <w:p w:rsidR="00CF59FE" w:rsidRDefault="00552A2E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552A2E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Adventure Guiding (NQF4)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Eastern Cape</w:t>
            </w:r>
          </w:p>
          <w:p w:rsidR="00552A2E" w:rsidRDefault="00552A2E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552A2E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Nature and Culture Guiding (NQF2)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Limpopo</w:t>
            </w:r>
          </w:p>
          <w:p w:rsidR="00552A2E" w:rsidRDefault="00552A2E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552A2E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Nature Guiding (NQF4)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in KwaZulu-Natal</w:t>
            </w:r>
          </w:p>
        </w:tc>
      </w:tr>
      <w:tr w:rsidR="00CF59FE" w:rsidTr="002356C5">
        <w:tc>
          <w:tcPr>
            <w:tcW w:w="1707" w:type="dxa"/>
          </w:tcPr>
          <w:p w:rsidR="00CF59FE" w:rsidRPr="002F48DA" w:rsidRDefault="00C1703C" w:rsidP="002356C5">
            <w:pPr>
              <w:spacing w:line="276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2019/2020</w:t>
            </w:r>
          </w:p>
        </w:tc>
        <w:tc>
          <w:tcPr>
            <w:tcW w:w="7371" w:type="dxa"/>
          </w:tcPr>
          <w:p w:rsidR="004D7D0B" w:rsidRDefault="004D7D0B" w:rsidP="002356C5">
            <w:p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D7D0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Implemented up-skilling initiatives as follows:</w:t>
            </w:r>
          </w:p>
          <w:p w:rsidR="00CF59FE" w:rsidRDefault="004D5F25" w:rsidP="002356C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Mandarin Language Training (HSK1) – Eastern Cape, Western Cape and Gauteng</w:t>
            </w:r>
          </w:p>
        </w:tc>
      </w:tr>
    </w:tbl>
    <w:p w:rsidR="00CF59FE" w:rsidRPr="000C3341" w:rsidRDefault="00CF59FE" w:rsidP="00CF59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73" w:firstLine="72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C3341" w:rsidRPr="000C3341" w:rsidRDefault="000C3341" w:rsidP="000C334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513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C334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Since 1 April 2020</w:t>
      </w:r>
    </w:p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1887"/>
        <w:gridCol w:w="7191"/>
      </w:tblGrid>
      <w:tr w:rsidR="004D6596" w:rsidRPr="002F48DA" w:rsidTr="003900DE">
        <w:trPr>
          <w:tblHeader/>
        </w:trPr>
        <w:tc>
          <w:tcPr>
            <w:tcW w:w="1887" w:type="dxa"/>
            <w:shd w:val="clear" w:color="auto" w:fill="D9D9D9" w:themeFill="background1" w:themeFillShade="D9"/>
          </w:tcPr>
          <w:p w:rsidR="004D6596" w:rsidRPr="00C1703C" w:rsidRDefault="00C1703C" w:rsidP="00C1703C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Year</w:t>
            </w:r>
          </w:p>
        </w:tc>
        <w:tc>
          <w:tcPr>
            <w:tcW w:w="7191" w:type="dxa"/>
            <w:shd w:val="clear" w:color="auto" w:fill="D9D9D9" w:themeFill="background1" w:themeFillShade="D9"/>
          </w:tcPr>
          <w:p w:rsidR="004D6596" w:rsidRPr="002F48DA" w:rsidRDefault="00EA3539" w:rsidP="00DD2F02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Facilitation of growth and development of the tourist guiding sector</w:t>
            </w:r>
          </w:p>
        </w:tc>
      </w:tr>
      <w:tr w:rsidR="004D6596" w:rsidTr="003900DE">
        <w:tc>
          <w:tcPr>
            <w:tcW w:w="1887" w:type="dxa"/>
          </w:tcPr>
          <w:p w:rsidR="004D6596" w:rsidRPr="002F48DA" w:rsidRDefault="00C1703C" w:rsidP="00DD2F02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2020/2021</w:t>
            </w:r>
          </w:p>
        </w:tc>
        <w:tc>
          <w:tcPr>
            <w:tcW w:w="7191" w:type="dxa"/>
          </w:tcPr>
          <w:p w:rsidR="004D7D0B" w:rsidRDefault="006F5743" w:rsidP="00DD2F02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 the process of implementing</w:t>
            </w:r>
            <w:r w:rsidR="004D7D0B" w:rsidRPr="004D7D0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up-skilling initiatives as follows:</w:t>
            </w:r>
          </w:p>
          <w:p w:rsidR="004D6596" w:rsidRDefault="004D5F25" w:rsidP="006F574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Mandarin Language Training (HSK1) – Limpopo, Mpumalanga and </w:t>
            </w:r>
            <w:r w:rsidR="004D7D0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KwaZulu-Natal.</w:t>
            </w:r>
          </w:p>
        </w:tc>
      </w:tr>
    </w:tbl>
    <w:p w:rsidR="000C3341" w:rsidRDefault="000C3341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C3341" w:rsidRDefault="000C3341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C3341" w:rsidRPr="000C3341" w:rsidRDefault="000C3341" w:rsidP="000C3341">
      <w:pPr>
        <w:pStyle w:val="ListParagraph"/>
        <w:numPr>
          <w:ilvl w:val="0"/>
          <w:numId w:val="13"/>
        </w:numPr>
        <w:spacing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C334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How were these efforts rolled out and actioned in each case </w:t>
      </w:r>
      <w:r w:rsidR="00C1703C" w:rsidRPr="000C334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respectively</w:t>
      </w:r>
      <w:r w:rsidR="00C1703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?</w:t>
      </w:r>
    </w:p>
    <w:p w:rsidR="000C3341" w:rsidRDefault="00511130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51113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240"/>
      </w:tblGrid>
      <w:tr w:rsidR="00F80AFF" w:rsidRPr="0037710B" w:rsidTr="0081163D">
        <w:trPr>
          <w:tblHeader/>
        </w:trPr>
        <w:tc>
          <w:tcPr>
            <w:tcW w:w="2689" w:type="dxa"/>
            <w:shd w:val="clear" w:color="auto" w:fill="F2F2F2" w:themeFill="background1" w:themeFillShade="F2"/>
          </w:tcPr>
          <w:p w:rsidR="00F80AFF" w:rsidRPr="0037710B" w:rsidRDefault="00F80AFF" w:rsidP="000C3341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Training Initiative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80AFF" w:rsidRPr="0037710B" w:rsidRDefault="00F80AFF" w:rsidP="000C3341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Details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:rsidR="00F80AFF" w:rsidRPr="0037710B" w:rsidRDefault="00F80AFF" w:rsidP="000C3341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Roll-out</w:t>
            </w:r>
          </w:p>
        </w:tc>
      </w:tr>
      <w:tr w:rsidR="00F80AFF" w:rsidRPr="0037710B" w:rsidTr="0081163D">
        <w:tc>
          <w:tcPr>
            <w:tcW w:w="2689" w:type="dxa"/>
          </w:tcPr>
          <w:p w:rsidR="00F80AFF" w:rsidRPr="003900DE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Adventure Guiding (NQF2) in Northern Cape</w:t>
            </w:r>
          </w:p>
          <w:p w:rsidR="00F80AFF" w:rsidRPr="0037710B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F80AFF" w:rsidRPr="0037710B" w:rsidRDefault="00F80AFF" w:rsidP="00F80AFF">
            <w:pPr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12 learners were selected to undergo training. All 12 were deemed competent as adventure guides (hiking).</w:t>
            </w:r>
          </w:p>
        </w:tc>
        <w:tc>
          <w:tcPr>
            <w:tcW w:w="4240" w:type="dxa"/>
          </w:tcPr>
          <w:p w:rsidR="0037710B" w:rsidRDefault="00F80AFF" w:rsidP="00F80AFF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The Department recruited and selected suitable candidates in collaboration with the Northern Cape Provincial Registrar.</w:t>
            </w:r>
          </w:p>
          <w:p w:rsidR="0037710B" w:rsidRDefault="00F80AFF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</w:t>
            </w:r>
            <w:r w:rsidR="0037710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procured the services of a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suitable training provider to implement the training.</w:t>
            </w:r>
          </w:p>
          <w:p w:rsid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37710B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all reporting 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  <w:tr w:rsidR="00F80AFF" w:rsidRPr="0037710B" w:rsidTr="0081163D">
        <w:tc>
          <w:tcPr>
            <w:tcW w:w="2689" w:type="dxa"/>
          </w:tcPr>
          <w:p w:rsidR="00F80AFF" w:rsidRPr="003900DE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Culture Guiding (NQF2) in Northern Cape</w:t>
            </w:r>
          </w:p>
          <w:p w:rsidR="00F80AFF" w:rsidRPr="0037710B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F80AFF" w:rsidRPr="0037710B" w:rsidRDefault="0037710B" w:rsidP="00A87055">
            <w:pPr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1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5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to undergo training.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Only 10 completed and were deemed competent as culture guides.</w:t>
            </w:r>
          </w:p>
        </w:tc>
        <w:tc>
          <w:tcPr>
            <w:tcW w:w="4240" w:type="dxa"/>
          </w:tcPr>
          <w:p w:rsidR="0037710B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recruited and selected suitable candidates in collaboration with the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Northern Cape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Provincial Registrar.</w:t>
            </w:r>
          </w:p>
          <w:p w:rsidR="0037710B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procured the services of a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suitable training provider to implement the training.</w:t>
            </w:r>
          </w:p>
          <w:p w:rsidR="0037710B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F80AFF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</w:t>
            </w:r>
            <w:r w:rsidR="0036674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all reporting </w:t>
            </w:r>
            <w:r w:rsidR="0036674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on conclusion of the training </w:t>
            </w:r>
            <w:proofErr w:type="spellStart"/>
            <w:r w:rsidR="0036674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="0036674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  <w:tr w:rsidR="00F80AFF" w:rsidRPr="0037710B" w:rsidTr="0081163D">
        <w:tc>
          <w:tcPr>
            <w:tcW w:w="2689" w:type="dxa"/>
          </w:tcPr>
          <w:p w:rsidR="00F80AFF" w:rsidRPr="003900DE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Culture Guiding (NQF2) in North West</w:t>
            </w:r>
          </w:p>
          <w:p w:rsidR="00F80AFF" w:rsidRPr="0037710B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F80AFF" w:rsidRPr="0037710B" w:rsidRDefault="0037710B" w:rsidP="00A87055">
            <w:pPr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1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0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to undergo training. A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ll 10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were deemed competent as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culture guides.</w:t>
            </w:r>
          </w:p>
        </w:tc>
        <w:tc>
          <w:tcPr>
            <w:tcW w:w="4240" w:type="dxa"/>
          </w:tcPr>
          <w:p w:rsidR="0037710B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recruited and selected suitable candidates in collaboration with the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North West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Provincial Registrar.</w:t>
            </w:r>
          </w:p>
          <w:p w:rsidR="0037710B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procured the services of a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suitable training provider to implement the training.</w:t>
            </w:r>
          </w:p>
          <w:p w:rsid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lastRenderedPageBreak/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F80AFF" w:rsidRPr="0037710B" w:rsidRDefault="0037710B" w:rsidP="0037710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</w:t>
            </w:r>
            <w:r w:rsidR="0036674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all reporting </w:t>
            </w:r>
            <w:r w:rsidR="0036674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on conclusion of the training </w:t>
            </w:r>
            <w:proofErr w:type="spellStart"/>
            <w:r w:rsidR="0036674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="0036674B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  <w:tr w:rsidR="00F80AFF" w:rsidRPr="0037710B" w:rsidTr="0081163D">
        <w:tc>
          <w:tcPr>
            <w:tcW w:w="2689" w:type="dxa"/>
          </w:tcPr>
          <w:p w:rsidR="00F80AFF" w:rsidRPr="003900DE" w:rsidRDefault="00F80AFF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lastRenderedPageBreak/>
              <w:t>Adventure Guiding (NQF4) in KwaZulu-Natal</w:t>
            </w:r>
          </w:p>
          <w:p w:rsidR="00F80AFF" w:rsidRPr="0037710B" w:rsidRDefault="00F80AFF" w:rsidP="00F80AFF">
            <w:pP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F80AFF" w:rsidRPr="00D50715" w:rsidRDefault="00D50715" w:rsidP="00A87055">
            <w:pPr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16 guides were selected to undergo training. All 16 were deemed competent as adventure guides (hiking).</w:t>
            </w:r>
          </w:p>
        </w:tc>
        <w:tc>
          <w:tcPr>
            <w:tcW w:w="4240" w:type="dxa"/>
          </w:tcPr>
          <w:p w:rsidR="00F80AFF" w:rsidRPr="00D50715" w:rsidRDefault="00D50715" w:rsidP="00D50715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Guides were </w:t>
            </w:r>
            <w:r w:rsidRPr="00D50715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Identified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by </w:t>
            </w:r>
            <w:proofErr w:type="spellStart"/>
            <w:r w:rsidRPr="003C5FED">
              <w:rPr>
                <w:rFonts w:ascii="Arial Narrow" w:hAnsi="Arial Narrow"/>
                <w:sz w:val="20"/>
                <w:szCs w:val="20"/>
                <w:lang w:val="en-GB"/>
              </w:rPr>
              <w:t>Ukhahlamba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Drakensberg World Heritage Site, </w:t>
            </w:r>
            <w:proofErr w:type="spellStart"/>
            <w:r w:rsidRPr="003C5FED">
              <w:rPr>
                <w:rFonts w:ascii="Arial Narrow" w:hAnsi="Arial Narrow"/>
                <w:sz w:val="20"/>
                <w:szCs w:val="20"/>
                <w:lang w:val="en-GB"/>
              </w:rPr>
              <w:t>Ezemvelo</w:t>
            </w:r>
            <w:proofErr w:type="spellEnd"/>
            <w:r w:rsidRPr="003C5FED">
              <w:rPr>
                <w:rFonts w:ascii="Arial Narrow" w:hAnsi="Arial Narrow"/>
                <w:sz w:val="20"/>
                <w:szCs w:val="20"/>
                <w:lang w:val="en-GB"/>
              </w:rPr>
              <w:t xml:space="preserve"> KZN Wildlife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:rsidR="00D50715" w:rsidRPr="00D50715" w:rsidRDefault="00D50715" w:rsidP="00D50715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Beneficiaries were community guides operating on a freelance basis without the requisite qualifications.</w:t>
            </w:r>
          </w:p>
          <w:p w:rsidR="00D50715" w:rsidRPr="0036674B" w:rsidRDefault="00D50715" w:rsidP="00D50715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The Department partnered with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Ezemvelo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KZN Wildlife and the KZN Provincial Registrar to</w:t>
            </w:r>
            <w:r w:rsidR="0036674B">
              <w:rPr>
                <w:rFonts w:ascii="Arial Narrow" w:hAnsi="Arial Narrow" w:cs="Times New Roman"/>
                <w:sz w:val="20"/>
                <w:szCs w:val="20"/>
              </w:rPr>
              <w:t xml:space="preserve"> implement the training.</w:t>
            </w:r>
          </w:p>
          <w:p w:rsidR="0036674B" w:rsidRPr="0037710B" w:rsidRDefault="0036674B" w:rsidP="0036674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procured the services of a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suitable training provider to implement the training.</w:t>
            </w:r>
          </w:p>
          <w:p w:rsidR="0036674B" w:rsidRDefault="0036674B" w:rsidP="0036674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36674B" w:rsidRPr="0037710B" w:rsidRDefault="0036674B" w:rsidP="0036674B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all reporting 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  <w:tr w:rsidR="00F80AFF" w:rsidRPr="0037710B" w:rsidTr="0081163D">
        <w:tc>
          <w:tcPr>
            <w:tcW w:w="2689" w:type="dxa"/>
          </w:tcPr>
          <w:p w:rsidR="00F80AFF" w:rsidRPr="0037710B" w:rsidRDefault="00F80AFF" w:rsidP="00F80AFF">
            <w:pP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Culture Guiding (NQF2) &amp; Customer Service Training in Limpopo</w:t>
            </w:r>
          </w:p>
        </w:tc>
        <w:tc>
          <w:tcPr>
            <w:tcW w:w="2693" w:type="dxa"/>
          </w:tcPr>
          <w:p w:rsidR="00F80AFF" w:rsidRPr="0037710B" w:rsidRDefault="00A909DA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8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to undergo training. A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ll 8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were deemed competent as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culture guides and in customer service.</w:t>
            </w:r>
          </w:p>
        </w:tc>
        <w:tc>
          <w:tcPr>
            <w:tcW w:w="4240" w:type="dxa"/>
          </w:tcPr>
          <w:p w:rsidR="00F80AFF" w:rsidRDefault="00A909DA" w:rsidP="00A909DA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Guides were identified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Mapungubwe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World Heritage Site,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SANParks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909DA" w:rsidRDefault="00A909DA" w:rsidP="00A909DA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Beneficiaries were employed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SANParks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required up-skilling.</w:t>
            </w:r>
          </w:p>
          <w:p w:rsidR="00A909DA" w:rsidRPr="0036674B" w:rsidRDefault="00A909DA" w:rsidP="00A909DA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The Department partnered with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SANParks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and the LP Provincial Registrar to implement the training.</w:t>
            </w:r>
          </w:p>
          <w:p w:rsidR="00A909DA" w:rsidRPr="0037710B" w:rsidRDefault="00A909DA" w:rsidP="00A909DA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appointed </w:t>
            </w:r>
            <w:proofErr w:type="spellStart"/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SANParks</w:t>
            </w:r>
            <w:proofErr w:type="spellEnd"/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as the implementing agency for the project.</w:t>
            </w:r>
          </w:p>
          <w:p w:rsidR="00A909DA" w:rsidRDefault="00A909DA" w:rsidP="00A909DA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A909DA" w:rsidRDefault="00A909DA" w:rsidP="00A909DA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all reporting 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  <w:p w:rsidR="00A909DA" w:rsidRPr="0037710B" w:rsidRDefault="00A909DA" w:rsidP="00F80AFF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</w:tr>
    </w:tbl>
    <w:p w:rsidR="00511130" w:rsidRPr="00511130" w:rsidRDefault="00511130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511130" w:rsidRPr="00511130" w:rsidRDefault="00511130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51113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240"/>
      </w:tblGrid>
      <w:tr w:rsidR="00215262" w:rsidRPr="0037710B" w:rsidTr="0081163D">
        <w:trPr>
          <w:tblHeader/>
        </w:trPr>
        <w:tc>
          <w:tcPr>
            <w:tcW w:w="2689" w:type="dxa"/>
            <w:shd w:val="clear" w:color="auto" w:fill="F2F2F2" w:themeFill="background1" w:themeFillShade="F2"/>
          </w:tcPr>
          <w:p w:rsidR="00215262" w:rsidRPr="0037710B" w:rsidRDefault="0021526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Training Initiative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15262" w:rsidRPr="0037710B" w:rsidRDefault="0021526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Details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:rsidR="00215262" w:rsidRPr="0037710B" w:rsidRDefault="0021526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Roll-out</w:t>
            </w:r>
          </w:p>
        </w:tc>
      </w:tr>
      <w:tr w:rsidR="00215262" w:rsidRPr="0037710B" w:rsidTr="0081163D">
        <w:tc>
          <w:tcPr>
            <w:tcW w:w="2689" w:type="dxa"/>
          </w:tcPr>
          <w:p w:rsidR="00215262" w:rsidRPr="003900DE" w:rsidRDefault="0021526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Adventure Guiding (NQF2) in Eastern Cape</w:t>
            </w:r>
          </w:p>
          <w:p w:rsidR="00215262" w:rsidRPr="0037710B" w:rsidRDefault="0021526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215262" w:rsidRPr="0037710B" w:rsidRDefault="00A762EB" w:rsidP="004572A3">
            <w:pPr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20</w:t>
            </w:r>
            <w:r w:rsidR="00215262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to undergo training. A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ll 20</w:t>
            </w:r>
            <w:r w:rsidR="00215262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were deemed competent as adventure guides (hiking).</w:t>
            </w:r>
          </w:p>
        </w:tc>
        <w:tc>
          <w:tcPr>
            <w:tcW w:w="4240" w:type="dxa"/>
          </w:tcPr>
          <w:p w:rsidR="00215262" w:rsidRDefault="00A762EB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C</w:t>
            </w:r>
            <w:r w:rsidR="00215262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andidates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were identified by the</w:t>
            </w:r>
            <w:r w:rsidR="00215262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Eastern Cape</w:t>
            </w:r>
            <w:r w:rsidR="00215262"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Provincial Registrar.</w:t>
            </w:r>
          </w:p>
          <w:p w:rsidR="00215262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The Department procured the services of a suitable training provider to implement the training.</w:t>
            </w:r>
          </w:p>
          <w:p w:rsidR="00215262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215262" w:rsidRPr="0037710B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all reporting 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  <w:tr w:rsidR="00215262" w:rsidRPr="0037710B" w:rsidTr="0081163D">
        <w:tc>
          <w:tcPr>
            <w:tcW w:w="2689" w:type="dxa"/>
          </w:tcPr>
          <w:p w:rsidR="00215262" w:rsidRPr="003900DE" w:rsidRDefault="00215262" w:rsidP="00215262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Nature and Culture Guiding (NQF2) in Limpopo</w:t>
            </w:r>
          </w:p>
          <w:p w:rsidR="00215262" w:rsidRPr="0037710B" w:rsidRDefault="0021526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215262" w:rsidRPr="0037710B" w:rsidRDefault="00215262" w:rsidP="00A762EB">
            <w:pPr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1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5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to undergo training. </w:t>
            </w:r>
            <w:r w:rsidR="00A762E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All 15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completed and were deemed competent as</w:t>
            </w:r>
            <w:r w:rsidR="00A762E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nature and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culture guides.</w:t>
            </w:r>
          </w:p>
        </w:tc>
        <w:tc>
          <w:tcPr>
            <w:tcW w:w="4240" w:type="dxa"/>
          </w:tcPr>
          <w:p w:rsidR="00215262" w:rsidRPr="0037710B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recruited and selected suitable candidates in collaboration with the </w:t>
            </w:r>
            <w:r w:rsidR="00A762E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Limpopo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Provincial Registrar.</w:t>
            </w:r>
          </w:p>
          <w:p w:rsidR="00215262" w:rsidRPr="0037710B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procured the services of a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suitable training provider to implement the training.</w:t>
            </w:r>
          </w:p>
          <w:p w:rsidR="00215262" w:rsidRPr="0037710B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215262" w:rsidRPr="0037710B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lastRenderedPageBreak/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all reporting 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  <w:tr w:rsidR="00215262" w:rsidRPr="0037710B" w:rsidTr="0081163D">
        <w:tc>
          <w:tcPr>
            <w:tcW w:w="2689" w:type="dxa"/>
          </w:tcPr>
          <w:p w:rsidR="00215262" w:rsidRPr="003900DE" w:rsidRDefault="0021526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lastRenderedPageBreak/>
              <w:t xml:space="preserve">Nature Guiding (NQF4) in KwaZulu-Natal </w:t>
            </w:r>
          </w:p>
        </w:tc>
        <w:tc>
          <w:tcPr>
            <w:tcW w:w="2693" w:type="dxa"/>
          </w:tcPr>
          <w:p w:rsidR="00215262" w:rsidRPr="0037710B" w:rsidRDefault="00215262" w:rsidP="004572A3">
            <w:pPr>
              <w:jc w:val="both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1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0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to undergo training. A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ll 10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were deemed competent as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culture guides.</w:t>
            </w:r>
          </w:p>
        </w:tc>
        <w:tc>
          <w:tcPr>
            <w:tcW w:w="4240" w:type="dxa"/>
          </w:tcPr>
          <w:p w:rsidR="00215262" w:rsidRPr="0037710B" w:rsidRDefault="00231D2C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guides were identified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iSimangaliso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Wetland Park Authority to complete their NQF4 training.</w:t>
            </w:r>
          </w:p>
          <w:p w:rsidR="00231D2C" w:rsidRPr="0037710B" w:rsidRDefault="00231D2C" w:rsidP="00231D2C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appointed </w:t>
            </w:r>
            <w:proofErr w:type="spellStart"/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iSimangaliso</w:t>
            </w:r>
            <w:proofErr w:type="spellEnd"/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as the implementing agency for the project.</w:t>
            </w:r>
          </w:p>
          <w:p w:rsidR="00215262" w:rsidRPr="00231D2C" w:rsidRDefault="00215262" w:rsidP="00231D2C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231D2C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231D2C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231D2C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215262" w:rsidRPr="0037710B" w:rsidRDefault="0021526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all reporting 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</w:tbl>
    <w:p w:rsidR="00511130" w:rsidRPr="00511130" w:rsidRDefault="00511130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511130" w:rsidRPr="00511130" w:rsidRDefault="00511130" w:rsidP="000C3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51113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240"/>
      </w:tblGrid>
      <w:tr w:rsidR="00D827F2" w:rsidRPr="0037710B" w:rsidTr="00222E91">
        <w:tc>
          <w:tcPr>
            <w:tcW w:w="2689" w:type="dxa"/>
            <w:shd w:val="clear" w:color="auto" w:fill="F2F2F2" w:themeFill="background1" w:themeFillShade="F2"/>
          </w:tcPr>
          <w:p w:rsidR="00D827F2" w:rsidRPr="0037710B" w:rsidRDefault="00D827F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Training Initiative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827F2" w:rsidRPr="0037710B" w:rsidRDefault="00D827F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Details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:rsidR="00D827F2" w:rsidRPr="0037710B" w:rsidRDefault="00D827F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Roll-out</w:t>
            </w:r>
          </w:p>
        </w:tc>
      </w:tr>
      <w:tr w:rsidR="00D827F2" w:rsidRPr="0037710B" w:rsidTr="00222E91">
        <w:tc>
          <w:tcPr>
            <w:tcW w:w="2689" w:type="dxa"/>
          </w:tcPr>
          <w:p w:rsidR="00D827F2" w:rsidRPr="003900DE" w:rsidRDefault="00D827F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Mandarin Language Training (HSK1)</w:t>
            </w:r>
          </w:p>
          <w:p w:rsidR="00D827F2" w:rsidRPr="0037710B" w:rsidRDefault="00D827F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D827F2" w:rsidRPr="0037710B" w:rsidRDefault="00D827F2" w:rsidP="00D827F2">
            <w:pPr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20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from the Eastern Cape, Western Cape and Gauteng. All 20 completed the training and were deemed competent.</w:t>
            </w:r>
          </w:p>
        </w:tc>
        <w:tc>
          <w:tcPr>
            <w:tcW w:w="4240" w:type="dxa"/>
          </w:tcPr>
          <w:p w:rsidR="00D827F2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C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andidates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were identified by the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Department in collaboration with the respective Provincial Registrars.</w:t>
            </w:r>
          </w:p>
          <w:p w:rsidR="00D827F2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The Department procured the services of a suitable training provider to implement the training.</w:t>
            </w:r>
          </w:p>
          <w:p w:rsidR="00D827F2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Learners completed their theory,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practicals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 assessments before receiving certificates of competencies.</w:t>
            </w:r>
          </w:p>
          <w:p w:rsidR="00D827F2" w:rsidRPr="0037710B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monitored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programmes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and finalized all reporting on conclusion of the training </w:t>
            </w:r>
            <w:proofErr w:type="spellStart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programme</w:t>
            </w:r>
            <w:proofErr w:type="spellEnd"/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.</w:t>
            </w:r>
          </w:p>
        </w:tc>
      </w:tr>
    </w:tbl>
    <w:p w:rsidR="004D02F7" w:rsidRPr="000C3341" w:rsidRDefault="004D02F7" w:rsidP="00D827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D827F2" w:rsidRPr="00511130" w:rsidRDefault="00D827F2" w:rsidP="00D827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240"/>
      </w:tblGrid>
      <w:tr w:rsidR="00D827F2" w:rsidRPr="0037710B" w:rsidTr="00222E91">
        <w:tc>
          <w:tcPr>
            <w:tcW w:w="2689" w:type="dxa"/>
            <w:shd w:val="clear" w:color="auto" w:fill="F2F2F2" w:themeFill="background1" w:themeFillShade="F2"/>
          </w:tcPr>
          <w:p w:rsidR="00D827F2" w:rsidRPr="0037710B" w:rsidRDefault="00D827F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Training Initiative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827F2" w:rsidRPr="0037710B" w:rsidRDefault="00D827F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Details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:rsidR="00D827F2" w:rsidRPr="0037710B" w:rsidRDefault="00D827F2" w:rsidP="004572A3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Roll-out</w:t>
            </w:r>
          </w:p>
        </w:tc>
      </w:tr>
      <w:tr w:rsidR="00D827F2" w:rsidRPr="0037710B" w:rsidTr="00222E91">
        <w:tc>
          <w:tcPr>
            <w:tcW w:w="2689" w:type="dxa"/>
          </w:tcPr>
          <w:p w:rsidR="00D827F2" w:rsidRPr="003900DE" w:rsidRDefault="00D827F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r w:rsidRPr="003900DE"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  <w:t>Mandarin Language Training (HSK1)</w:t>
            </w:r>
          </w:p>
          <w:p w:rsidR="00D827F2" w:rsidRPr="0037710B" w:rsidRDefault="00D827F2" w:rsidP="004572A3">
            <w:pPr>
              <w:rPr>
                <w:rFonts w:ascii="Arial Narrow" w:eastAsia="Arial Unicode MS" w:hAnsi="Arial Narrow" w:cs="Times New Roman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693" w:type="dxa"/>
          </w:tcPr>
          <w:p w:rsidR="00D827F2" w:rsidRPr="0037710B" w:rsidRDefault="00D827F2" w:rsidP="00D827F2">
            <w:pPr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20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learners were selected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from Limpopo, Mpumalanga and KwaZulu-Natal.</w:t>
            </w:r>
          </w:p>
        </w:tc>
        <w:tc>
          <w:tcPr>
            <w:tcW w:w="4240" w:type="dxa"/>
          </w:tcPr>
          <w:p w:rsidR="00D827F2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Recruitment and selection was conducted in collaboration with the respective Provincial Registrars.</w:t>
            </w:r>
          </w:p>
          <w:p w:rsidR="00D827F2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The Department 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will 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p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rocure</w:t>
            </w:r>
            <w:r w:rsidRPr="0037710B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the services of a suitable training provider to implement</w:t>
            </w: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 xml:space="preserve"> online training given the Covid-19 risks.</w:t>
            </w:r>
          </w:p>
          <w:p w:rsidR="00D827F2" w:rsidRPr="0037710B" w:rsidRDefault="00D827F2" w:rsidP="004572A3">
            <w:pPr>
              <w:pStyle w:val="ListParagraph"/>
              <w:numPr>
                <w:ilvl w:val="0"/>
                <w:numId w:val="15"/>
              </w:numPr>
              <w:ind w:left="280" w:hanging="280"/>
              <w:jc w:val="both"/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0"/>
                <w:szCs w:val="20"/>
                <w:bdr w:val="nil"/>
                <w:lang w:val="en-US"/>
              </w:rPr>
              <w:t>The Department is currently working on the logistics and envisages training to commence in the third quarter.</w:t>
            </w:r>
          </w:p>
        </w:tc>
      </w:tr>
    </w:tbl>
    <w:p w:rsidR="00AD2AEF" w:rsidRPr="000C3341" w:rsidRDefault="00AD2AEF" w:rsidP="00AD2AEF">
      <w:pPr>
        <w:pStyle w:val="ListParagraph"/>
        <w:ind w:left="567" w:hanging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AD2AEF" w:rsidRPr="000C3341" w:rsidRDefault="00AD2AEF" w:rsidP="00AD2AEF">
      <w:pPr>
        <w:pStyle w:val="ListParagraph"/>
        <w:ind w:left="567" w:hanging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AD2AEF" w:rsidRPr="000C3341" w:rsidRDefault="00AD2AEF" w:rsidP="00AD2AEF">
      <w:pPr>
        <w:pStyle w:val="ListParagraph"/>
        <w:ind w:left="567" w:hanging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4D02F7" w:rsidRPr="000C3341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4D02F7" w:rsidRPr="000C3341" w:rsidRDefault="004D02F7" w:rsidP="004B2C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sectPr w:rsidR="004D02F7" w:rsidRPr="000C3341" w:rsidSect="008A7A9A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51" w:rsidRDefault="002E6151">
      <w:pPr>
        <w:spacing w:after="0" w:line="240" w:lineRule="auto"/>
      </w:pPr>
      <w:r>
        <w:separator/>
      </w:r>
    </w:p>
  </w:endnote>
  <w:endnote w:type="continuationSeparator" w:id="0">
    <w:p w:rsidR="002E6151" w:rsidRDefault="002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013AC6">
        <w:pPr>
          <w:pStyle w:val="Footer"/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 xml:space="preserve">1254 (NW1620E)                                                                                                     </w:t>
        </w:r>
        <w:r w:rsidRPr="00013AC6">
          <w:rPr>
            <w:rFonts w:ascii="Arial Narrow" w:hAnsi="Arial Narrow"/>
          </w:rPr>
          <w:t xml:space="preserve">Page </w:t>
        </w:r>
        <w:r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Pr="00013AC6">
          <w:rPr>
            <w:rFonts w:ascii="Arial Narrow" w:hAnsi="Arial Narrow"/>
          </w:rPr>
          <w:fldChar w:fldCharType="separate"/>
        </w:r>
        <w:r w:rsidR="00634B7F">
          <w:rPr>
            <w:rFonts w:ascii="Arial Narrow" w:hAnsi="Arial Narrow"/>
            <w:noProof/>
          </w:rPr>
          <w:t>4</w:t>
        </w:r>
        <w:r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2E6151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2E6151">
    <w:pPr>
      <w:pStyle w:val="Footer"/>
      <w:jc w:val="right"/>
    </w:pPr>
  </w:p>
  <w:p w:rsidR="001656DE" w:rsidRPr="006016C0" w:rsidRDefault="00013AC6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1254</w:t>
    </w:r>
    <w:r w:rsidR="00AD2AEF">
      <w:rPr>
        <w:rFonts w:ascii="Arial Narrow" w:hAnsi="Arial Narrow"/>
        <w:sz w:val="18"/>
        <w:szCs w:val="18"/>
      </w:rPr>
      <w:t xml:space="preserve"> (NW1</w:t>
    </w:r>
    <w:r>
      <w:rPr>
        <w:rFonts w:ascii="Arial Narrow" w:hAnsi="Arial Narrow"/>
        <w:sz w:val="18"/>
        <w:szCs w:val="18"/>
      </w:rPr>
      <w:t>620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51" w:rsidRDefault="002E6151">
      <w:pPr>
        <w:spacing w:after="0" w:line="240" w:lineRule="auto"/>
      </w:pPr>
      <w:r>
        <w:separator/>
      </w:r>
    </w:p>
  </w:footnote>
  <w:footnote w:type="continuationSeparator" w:id="0">
    <w:p w:rsidR="002E6151" w:rsidRDefault="002E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52F25"/>
    <w:multiLevelType w:val="hybridMultilevel"/>
    <w:tmpl w:val="A1C2380C"/>
    <w:lvl w:ilvl="0" w:tplc="65F4DDF8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69AE1740"/>
    <w:multiLevelType w:val="hybridMultilevel"/>
    <w:tmpl w:val="6422E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13AC6"/>
    <w:rsid w:val="00070783"/>
    <w:rsid w:val="000C3341"/>
    <w:rsid w:val="000C51A5"/>
    <w:rsid w:val="001839A9"/>
    <w:rsid w:val="001C5D48"/>
    <w:rsid w:val="001E516F"/>
    <w:rsid w:val="001E58B5"/>
    <w:rsid w:val="00215262"/>
    <w:rsid w:val="00222E91"/>
    <w:rsid w:val="00231D2C"/>
    <w:rsid w:val="002356C5"/>
    <w:rsid w:val="002E24A9"/>
    <w:rsid w:val="002E6151"/>
    <w:rsid w:val="002F397B"/>
    <w:rsid w:val="003111B9"/>
    <w:rsid w:val="0036674B"/>
    <w:rsid w:val="00366931"/>
    <w:rsid w:val="0037710B"/>
    <w:rsid w:val="0038039F"/>
    <w:rsid w:val="003900DE"/>
    <w:rsid w:val="00402B5F"/>
    <w:rsid w:val="00471ABE"/>
    <w:rsid w:val="0047408B"/>
    <w:rsid w:val="004B2C2E"/>
    <w:rsid w:val="004D02F7"/>
    <w:rsid w:val="004D5F25"/>
    <w:rsid w:val="004D6596"/>
    <w:rsid w:val="004D7D0B"/>
    <w:rsid w:val="00511130"/>
    <w:rsid w:val="00545830"/>
    <w:rsid w:val="00552A2E"/>
    <w:rsid w:val="005C13B9"/>
    <w:rsid w:val="005C36B5"/>
    <w:rsid w:val="00600626"/>
    <w:rsid w:val="006016C0"/>
    <w:rsid w:val="00627B0B"/>
    <w:rsid w:val="00632E4F"/>
    <w:rsid w:val="00634B7F"/>
    <w:rsid w:val="00655403"/>
    <w:rsid w:val="00666477"/>
    <w:rsid w:val="006B0355"/>
    <w:rsid w:val="006C22EF"/>
    <w:rsid w:val="006F5743"/>
    <w:rsid w:val="006F70C0"/>
    <w:rsid w:val="00762F02"/>
    <w:rsid w:val="007F5766"/>
    <w:rsid w:val="0081163D"/>
    <w:rsid w:val="008A7A9A"/>
    <w:rsid w:val="008B0B46"/>
    <w:rsid w:val="008B55A3"/>
    <w:rsid w:val="008E73A3"/>
    <w:rsid w:val="0091328D"/>
    <w:rsid w:val="00940CDA"/>
    <w:rsid w:val="00972BD7"/>
    <w:rsid w:val="009A58D0"/>
    <w:rsid w:val="00A1688D"/>
    <w:rsid w:val="00A762EB"/>
    <w:rsid w:val="00A8204E"/>
    <w:rsid w:val="00A87055"/>
    <w:rsid w:val="00A909DA"/>
    <w:rsid w:val="00AD2AEF"/>
    <w:rsid w:val="00B115A7"/>
    <w:rsid w:val="00B12CA0"/>
    <w:rsid w:val="00B47D3F"/>
    <w:rsid w:val="00B71DB5"/>
    <w:rsid w:val="00C1335C"/>
    <w:rsid w:val="00C14944"/>
    <w:rsid w:val="00C1703C"/>
    <w:rsid w:val="00C53330"/>
    <w:rsid w:val="00CD4D2F"/>
    <w:rsid w:val="00CF59FE"/>
    <w:rsid w:val="00D021EC"/>
    <w:rsid w:val="00D10EA6"/>
    <w:rsid w:val="00D27D2D"/>
    <w:rsid w:val="00D47F8D"/>
    <w:rsid w:val="00D50715"/>
    <w:rsid w:val="00D827F2"/>
    <w:rsid w:val="00DC2F7B"/>
    <w:rsid w:val="00E347FA"/>
    <w:rsid w:val="00E4192C"/>
    <w:rsid w:val="00E47924"/>
    <w:rsid w:val="00E54B68"/>
    <w:rsid w:val="00EA3539"/>
    <w:rsid w:val="00EF0544"/>
    <w:rsid w:val="00F1693A"/>
    <w:rsid w:val="00F4258D"/>
    <w:rsid w:val="00F73FD0"/>
    <w:rsid w:val="00F80AFF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9055-3C68-4828-8F8D-DC36132E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2020-07-01T16:34:00Z</dcterms:created>
  <dcterms:modified xsi:type="dcterms:W3CDTF">2020-07-01T16:34:00Z</dcterms:modified>
</cp:coreProperties>
</file>