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4376F">
        <w:rPr>
          <w:rFonts w:ascii="Times New Roman" w:hAnsi="Times New Roman" w:cs="Times New Roman"/>
          <w:b/>
          <w:sz w:val="24"/>
          <w:szCs w:val="24"/>
        </w:rPr>
        <w:t xml:space="preserve"> 1251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12F72">
        <w:rPr>
          <w:rFonts w:ascii="Times New Roman" w:hAnsi="Times New Roman" w:cs="Times New Roman"/>
          <w:b/>
          <w:sz w:val="24"/>
          <w:szCs w:val="24"/>
          <w:u w:val="single"/>
        </w:rPr>
        <w:t>F INTERNAL QUESTION PAPER: 18</w:t>
      </w:r>
      <w:r w:rsidR="009564A8">
        <w:rPr>
          <w:rFonts w:ascii="Times New Roman" w:hAnsi="Times New Roman" w:cs="Times New Roman"/>
          <w:b/>
          <w:sz w:val="24"/>
          <w:szCs w:val="24"/>
          <w:u w:val="single"/>
        </w:rPr>
        <w:t>/10</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A12F72">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20</w:t>
      </w:r>
      <w:r w:rsidR="00C06F25">
        <w:rPr>
          <w:rFonts w:ascii="Times New Roman" w:hAnsi="Times New Roman" w:cs="Times New Roman"/>
          <w:b/>
          <w:sz w:val="24"/>
          <w:szCs w:val="24"/>
          <w:u w:val="single"/>
        </w:rPr>
        <w:t>/2019</w:t>
      </w:r>
    </w:p>
    <w:p w:rsidR="0014376F" w:rsidRPr="0014376F" w:rsidRDefault="0014376F" w:rsidP="0014376F">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lang w:val="af-ZA"/>
        </w:rPr>
      </w:pPr>
      <w:r w:rsidRPr="0014376F">
        <w:rPr>
          <w:rFonts w:ascii="Times New Roman" w:eastAsia="Times New Roman" w:hAnsi="Times New Roman" w:cs="Times New Roman"/>
          <w:b/>
          <w:sz w:val="24"/>
          <w:szCs w:val="24"/>
          <w:lang w:val="af-ZA"/>
        </w:rPr>
        <w:t>1251.</w:t>
      </w:r>
      <w:r w:rsidRPr="0014376F">
        <w:rPr>
          <w:rFonts w:ascii="Times New Roman" w:eastAsia="Times New Roman" w:hAnsi="Times New Roman" w:cs="Times New Roman"/>
          <w:b/>
          <w:sz w:val="24"/>
          <w:szCs w:val="24"/>
          <w:lang w:val="af-ZA"/>
        </w:rPr>
        <w:tab/>
        <w:t xml:space="preserve">Mrs N I </w:t>
      </w:r>
      <w:proofErr w:type="spellStart"/>
      <w:r w:rsidRPr="0014376F">
        <w:rPr>
          <w:rFonts w:ascii="Times New Roman" w:eastAsia="Times New Roman" w:hAnsi="Times New Roman" w:cs="Times New Roman"/>
          <w:b/>
          <w:sz w:val="24"/>
          <w:szCs w:val="24"/>
          <w:lang w:val="en-US"/>
        </w:rPr>
        <w:t>Tarabella</w:t>
      </w:r>
      <w:proofErr w:type="spellEnd"/>
      <w:r w:rsidRPr="0014376F">
        <w:rPr>
          <w:rFonts w:ascii="Times New Roman" w:eastAsia="Times New Roman" w:hAnsi="Times New Roman" w:cs="Times New Roman"/>
          <w:b/>
          <w:sz w:val="24"/>
          <w:szCs w:val="24"/>
          <w:lang w:val="af-ZA"/>
        </w:rPr>
        <w:t xml:space="preserve"> Marchesi (DA) to ask the Minister of Basic Education</w:t>
      </w:r>
      <w:r w:rsidRPr="0014376F">
        <w:rPr>
          <w:rFonts w:ascii="Times New Roman" w:eastAsia="Times New Roman" w:hAnsi="Times New Roman" w:cs="Times New Roman"/>
          <w:b/>
          <w:sz w:val="24"/>
          <w:szCs w:val="24"/>
          <w:lang w:val="af-ZA"/>
        </w:rPr>
        <w:fldChar w:fldCharType="begin"/>
      </w:r>
      <w:r w:rsidRPr="0014376F">
        <w:rPr>
          <w:rFonts w:ascii="Calibri" w:eastAsia="Calibri" w:hAnsi="Calibri" w:cs="Times New Roman"/>
        </w:rPr>
        <w:instrText xml:space="preserve"> XE "</w:instrText>
      </w:r>
      <w:r w:rsidRPr="0014376F">
        <w:rPr>
          <w:rFonts w:ascii="Times New Roman" w:eastAsia="Calibri" w:hAnsi="Times New Roman" w:cs="Times New Roman"/>
          <w:b/>
          <w:sz w:val="24"/>
          <w:szCs w:val="24"/>
        </w:rPr>
        <w:instrText>Basic Education</w:instrText>
      </w:r>
      <w:r w:rsidRPr="0014376F">
        <w:rPr>
          <w:rFonts w:ascii="Calibri" w:eastAsia="Calibri" w:hAnsi="Calibri" w:cs="Times New Roman"/>
        </w:rPr>
        <w:instrText xml:space="preserve">" </w:instrText>
      </w:r>
      <w:r w:rsidRPr="0014376F">
        <w:rPr>
          <w:rFonts w:ascii="Times New Roman" w:eastAsia="Times New Roman" w:hAnsi="Times New Roman" w:cs="Times New Roman"/>
          <w:b/>
          <w:sz w:val="24"/>
          <w:szCs w:val="24"/>
          <w:lang w:val="af-ZA"/>
        </w:rPr>
        <w:fldChar w:fldCharType="end"/>
      </w:r>
      <w:r w:rsidRPr="0014376F">
        <w:rPr>
          <w:rFonts w:ascii="Times New Roman" w:eastAsia="Times New Roman" w:hAnsi="Times New Roman" w:cs="Times New Roman"/>
          <w:b/>
          <w:sz w:val="24"/>
          <w:szCs w:val="24"/>
          <w:lang w:val="af-ZA"/>
        </w:rPr>
        <w:t>:</w:t>
      </w:r>
    </w:p>
    <w:p w:rsidR="0014376F" w:rsidRDefault="0014376F" w:rsidP="0014376F">
      <w:pPr>
        <w:spacing w:before="100" w:beforeAutospacing="1" w:after="100" w:afterAutospacing="1" w:line="259" w:lineRule="auto"/>
        <w:ind w:left="720"/>
        <w:jc w:val="both"/>
        <w:outlineLvl w:val="0"/>
        <w:rPr>
          <w:rFonts w:ascii="Times New Roman" w:eastAsia="Times New Roman" w:hAnsi="Times New Roman" w:cs="Times New Roman"/>
          <w:sz w:val="20"/>
          <w:szCs w:val="20"/>
          <w:lang w:val="af-ZA"/>
        </w:rPr>
      </w:pPr>
      <w:r w:rsidRPr="0014376F">
        <w:rPr>
          <w:rFonts w:ascii="Times New Roman" w:eastAsia="Calibri" w:hAnsi="Times New Roman" w:cs="Times New Roman"/>
          <w:sz w:val="24"/>
          <w:szCs w:val="24"/>
        </w:rPr>
        <w:t>Whether she has found that the drop-out rate of 13 to 17</w:t>
      </w:r>
      <w:proofErr w:type="gramStart"/>
      <w:r w:rsidRPr="0014376F">
        <w:rPr>
          <w:rFonts w:ascii="Times New Roman" w:eastAsia="Calibri" w:hAnsi="Times New Roman" w:cs="Times New Roman"/>
          <w:sz w:val="24"/>
          <w:szCs w:val="24"/>
        </w:rPr>
        <w:t>,5</w:t>
      </w:r>
      <w:proofErr w:type="gramEnd"/>
      <w:r w:rsidRPr="0014376F">
        <w:rPr>
          <w:rFonts w:ascii="Times New Roman" w:eastAsia="Calibri" w:hAnsi="Times New Roman" w:cs="Times New Roman"/>
          <w:sz w:val="24"/>
          <w:szCs w:val="24"/>
        </w:rPr>
        <w:t>%, as stated by her department’s Director-General at the meeting of the Portfolio Committee on Basic Education</w:t>
      </w:r>
      <w:r w:rsidRPr="0014376F">
        <w:rPr>
          <w:rFonts w:ascii="Times New Roman" w:eastAsia="Calibri" w:hAnsi="Times New Roman" w:cs="Times New Roman"/>
          <w:sz w:val="24"/>
          <w:szCs w:val="24"/>
        </w:rPr>
        <w:fldChar w:fldCharType="begin"/>
      </w:r>
      <w:r w:rsidRPr="0014376F">
        <w:rPr>
          <w:rFonts w:ascii="Calibri" w:eastAsia="Calibri" w:hAnsi="Calibri" w:cs="Times New Roman"/>
        </w:rPr>
        <w:instrText xml:space="preserve"> XE "</w:instrText>
      </w:r>
      <w:r w:rsidRPr="0014376F">
        <w:rPr>
          <w:rFonts w:ascii="Times New Roman" w:eastAsia="Calibri" w:hAnsi="Times New Roman" w:cs="Times New Roman"/>
          <w:b/>
          <w:sz w:val="24"/>
          <w:szCs w:val="24"/>
        </w:rPr>
        <w:instrText>Basic Education</w:instrText>
      </w:r>
      <w:r w:rsidRPr="0014376F">
        <w:rPr>
          <w:rFonts w:ascii="Calibri" w:eastAsia="Calibri" w:hAnsi="Calibri" w:cs="Times New Roman"/>
        </w:rPr>
        <w:instrText xml:space="preserve">" </w:instrText>
      </w:r>
      <w:r w:rsidRPr="0014376F">
        <w:rPr>
          <w:rFonts w:ascii="Times New Roman" w:eastAsia="Calibri" w:hAnsi="Times New Roman" w:cs="Times New Roman"/>
          <w:sz w:val="24"/>
          <w:szCs w:val="24"/>
        </w:rPr>
        <w:fldChar w:fldCharType="end"/>
      </w:r>
      <w:r w:rsidRPr="0014376F">
        <w:rPr>
          <w:rFonts w:ascii="Times New Roman" w:eastAsia="Calibri" w:hAnsi="Times New Roman" w:cs="Times New Roman"/>
          <w:sz w:val="24"/>
          <w:szCs w:val="24"/>
        </w:rPr>
        <w:t xml:space="preserve"> on 8 October 2019, is a true and accurate reflection of the actual drop-out rate; if so, on what evidence is this drop-out rate based; if not, what is the actual current drop-out rate?</w:t>
      </w:r>
      <w:r w:rsidRPr="0014376F">
        <w:rPr>
          <w:rFonts w:ascii="Times New Roman" w:eastAsia="Calibri" w:hAnsi="Times New Roman" w:cs="Times New Roman"/>
          <w:sz w:val="24"/>
          <w:szCs w:val="24"/>
        </w:rPr>
        <w:tab/>
      </w:r>
      <w:r w:rsidRPr="0014376F">
        <w:rPr>
          <w:rFonts w:ascii="Times New Roman" w:eastAsia="Calibri" w:hAnsi="Times New Roman" w:cs="Times New Roman"/>
          <w:sz w:val="24"/>
          <w:szCs w:val="24"/>
        </w:rPr>
        <w:tab/>
      </w:r>
      <w:r w:rsidRPr="0014376F">
        <w:rPr>
          <w:rFonts w:ascii="Times New Roman" w:eastAsia="Calibri" w:hAnsi="Times New Roman" w:cs="Times New Roman"/>
          <w:sz w:val="24"/>
          <w:szCs w:val="24"/>
        </w:rPr>
        <w:tab/>
      </w:r>
      <w:r w:rsidRPr="0014376F">
        <w:rPr>
          <w:rFonts w:ascii="Times New Roman" w:eastAsia="Calibri" w:hAnsi="Times New Roman" w:cs="Times New Roman"/>
          <w:sz w:val="24"/>
          <w:szCs w:val="24"/>
        </w:rPr>
        <w:tab/>
      </w:r>
      <w:r w:rsidRPr="0014376F">
        <w:rPr>
          <w:rFonts w:ascii="Times New Roman" w:eastAsia="Calibri" w:hAnsi="Times New Roman" w:cs="Times New Roman"/>
          <w:sz w:val="24"/>
          <w:szCs w:val="24"/>
        </w:rPr>
        <w:tab/>
      </w:r>
      <w:r w:rsidRPr="0014376F">
        <w:rPr>
          <w:rFonts w:ascii="Times New Roman" w:eastAsia="Calibri" w:hAnsi="Times New Roman" w:cs="Times New Roman"/>
          <w:sz w:val="24"/>
          <w:szCs w:val="24"/>
        </w:rPr>
        <w:tab/>
      </w:r>
      <w:r w:rsidRPr="0014376F">
        <w:rPr>
          <w:rFonts w:ascii="Times New Roman" w:eastAsia="Calibri" w:hAnsi="Times New Roman" w:cs="Times New Roman"/>
          <w:sz w:val="24"/>
          <w:szCs w:val="24"/>
        </w:rPr>
        <w:tab/>
      </w:r>
      <w:r w:rsidRPr="0014376F">
        <w:rPr>
          <w:rFonts w:ascii="Times New Roman" w:eastAsia="Calibri" w:hAnsi="Times New Roman" w:cs="Times New Roman"/>
          <w:sz w:val="24"/>
          <w:szCs w:val="24"/>
        </w:rPr>
        <w:tab/>
      </w:r>
      <w:r w:rsidRPr="0014376F">
        <w:rPr>
          <w:rFonts w:ascii="Times New Roman" w:eastAsia="Calibri" w:hAnsi="Times New Roman" w:cs="Times New Roman"/>
          <w:sz w:val="24"/>
          <w:szCs w:val="24"/>
        </w:rPr>
        <w:tab/>
      </w:r>
      <w:r w:rsidRPr="0014376F">
        <w:rPr>
          <w:rFonts w:ascii="Times New Roman" w:eastAsia="Times New Roman" w:hAnsi="Times New Roman" w:cs="Times New Roman"/>
          <w:sz w:val="20"/>
          <w:szCs w:val="20"/>
          <w:lang w:val="af-ZA"/>
        </w:rPr>
        <w:t>NW2463E</w:t>
      </w:r>
    </w:p>
    <w:p w:rsid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lang w:val="af-ZA"/>
        </w:rPr>
      </w:pPr>
    </w:p>
    <w:p w:rsidR="00397A1E" w:rsidRDefault="00755687" w:rsidP="00755687">
      <w:pPr>
        <w:pStyle w:val="p1"/>
        <w:shd w:val="clear" w:color="auto" w:fill="FFFFFF"/>
        <w:spacing w:before="0" w:beforeAutospacing="0" w:after="0" w:afterAutospacing="0"/>
        <w:jc w:val="both"/>
        <w:rPr>
          <w:rFonts w:eastAsia="Calibri"/>
          <w:lang w:val="en-US" w:eastAsia="en-US"/>
        </w:rPr>
      </w:pPr>
      <w:r>
        <w:rPr>
          <w:rFonts w:eastAsia="Calibri"/>
          <w:lang w:val="en-US" w:eastAsia="en-US"/>
        </w:rPr>
        <w:t>There is a lot of confusion</w:t>
      </w:r>
      <w:r w:rsidR="00BE0DB0">
        <w:rPr>
          <w:rFonts w:eastAsia="Calibri"/>
          <w:lang w:val="en-US" w:eastAsia="en-US"/>
        </w:rPr>
        <w:t xml:space="preserve"> about drop-out rates – how these are</w:t>
      </w:r>
      <w:r>
        <w:rPr>
          <w:rFonts w:eastAsia="Calibri"/>
          <w:lang w:val="en-US" w:eastAsia="en-US"/>
        </w:rPr>
        <w:t xml:space="preserve"> defined and measured. </w:t>
      </w:r>
      <w:r w:rsidR="00BE0DB0">
        <w:rPr>
          <w:rFonts w:eastAsia="Calibri"/>
          <w:lang w:val="en-US" w:eastAsia="en-US"/>
        </w:rPr>
        <w:t xml:space="preserve">Often what South African people have in mind when loosely referring to “the drop-out rate” is something along the lines of the proportion of children who leave the schooling system without completing Grade 12. However, another way in which drop-out rates are conceived is the proportion of children exiting the school system after each grade. This is how the UNESCO Institute for Statistics defines dropout rates. In this sense, there is no single dropout rate, but there is a different dropout rate for each grade. </w:t>
      </w:r>
      <w:r w:rsidR="00397A1E">
        <w:rPr>
          <w:rFonts w:eastAsia="Calibri"/>
          <w:lang w:val="en-US" w:eastAsia="en-US"/>
        </w:rPr>
        <w:t>It would be helpful for questions about retention in the school system or grade completion rates, or dropout rates to be specific.</w:t>
      </w:r>
    </w:p>
    <w:p w:rsidR="00397A1E" w:rsidRDefault="00397A1E" w:rsidP="00755687">
      <w:pPr>
        <w:pStyle w:val="p1"/>
        <w:shd w:val="clear" w:color="auto" w:fill="FFFFFF"/>
        <w:spacing w:before="0" w:beforeAutospacing="0" w:after="0" w:afterAutospacing="0"/>
        <w:jc w:val="both"/>
        <w:rPr>
          <w:rFonts w:eastAsia="Calibri"/>
          <w:lang w:val="en-US" w:eastAsia="en-US"/>
        </w:rPr>
      </w:pPr>
    </w:p>
    <w:p w:rsidR="00755687" w:rsidRDefault="00755687" w:rsidP="00755687">
      <w:pPr>
        <w:pStyle w:val="p1"/>
        <w:shd w:val="clear" w:color="auto" w:fill="FFFFFF"/>
        <w:spacing w:before="0" w:beforeAutospacing="0" w:after="0" w:afterAutospacing="0"/>
        <w:jc w:val="both"/>
        <w:rPr>
          <w:rFonts w:eastAsia="Calibri"/>
          <w:lang w:val="en-US" w:eastAsia="en-US"/>
        </w:rPr>
      </w:pPr>
      <w:r>
        <w:rPr>
          <w:rFonts w:eastAsia="Calibri"/>
          <w:lang w:val="en-US" w:eastAsia="en-US"/>
        </w:rPr>
        <w:t xml:space="preserve">Whenever matric results are released some critics refer to the so-called “real pass rate”, which attempts to measure the percentage of all children who started school that went on to complete matric. Figures in the range of 37% to 40% are usually mentioned in this regard. This is inaccurate and is caused by </w:t>
      </w:r>
      <w:r w:rsidRPr="00AF5B17">
        <w:rPr>
          <w:rFonts w:eastAsia="Calibri"/>
          <w:lang w:val="en-US" w:eastAsia="en-US"/>
        </w:rPr>
        <w:t xml:space="preserve">the perpetual mistake of comparing grade 1 enrolments (which are inflated due to grade repetition) to matric passes. </w:t>
      </w:r>
      <w:r>
        <w:rPr>
          <w:rFonts w:eastAsia="Calibri"/>
          <w:lang w:val="en-US" w:eastAsia="en-US"/>
        </w:rPr>
        <w:t>The high rate of grade repetition in grade 1 is the main reason why this method is flawed, but another reason is that a substantial number of people complete matric through supplementary June NSC exams (or the Multiple Exam Opportunity since 2015) and other equivalent FET qualifications, and these are not reported in the NSC technical reports.</w:t>
      </w:r>
    </w:p>
    <w:p w:rsidR="00755687" w:rsidRDefault="00755687" w:rsidP="00755687">
      <w:pPr>
        <w:pStyle w:val="p1"/>
        <w:shd w:val="clear" w:color="auto" w:fill="FFFFFF"/>
        <w:spacing w:before="0" w:beforeAutospacing="0" w:after="0" w:afterAutospacing="0"/>
        <w:jc w:val="both"/>
        <w:rPr>
          <w:rFonts w:eastAsia="Calibri"/>
          <w:lang w:val="en-US" w:eastAsia="en-US"/>
        </w:rPr>
      </w:pPr>
    </w:p>
    <w:p w:rsidR="00755687" w:rsidRPr="00AF5B17" w:rsidRDefault="00755687" w:rsidP="00755687">
      <w:pPr>
        <w:pStyle w:val="p1"/>
        <w:shd w:val="clear" w:color="auto" w:fill="FFFFFF"/>
        <w:spacing w:before="0" w:beforeAutospacing="0" w:after="0" w:afterAutospacing="0"/>
        <w:jc w:val="both"/>
        <w:rPr>
          <w:rFonts w:eastAsia="Calibri"/>
          <w:lang w:val="en-US" w:eastAsia="en-US"/>
        </w:rPr>
      </w:pPr>
      <w:r w:rsidRPr="00AF5B17">
        <w:rPr>
          <w:rFonts w:eastAsia="Calibri"/>
          <w:lang w:val="en-US" w:eastAsia="en-US"/>
        </w:rPr>
        <w:t>A more careful analysis of household survey data indicates that</w:t>
      </w:r>
      <w:r w:rsidR="00397A1E">
        <w:rPr>
          <w:rFonts w:eastAsia="Calibri"/>
          <w:lang w:val="en-US" w:eastAsia="en-US"/>
        </w:rPr>
        <w:t xml:space="preserve"> in recent years</w:t>
      </w:r>
      <w:r w:rsidRPr="00AF5B17">
        <w:rPr>
          <w:rFonts w:eastAsia="Calibri"/>
          <w:lang w:val="en-US" w:eastAsia="en-US"/>
        </w:rPr>
        <w:t xml:space="preserve"> </w:t>
      </w:r>
      <w:r w:rsidRPr="0097458C">
        <w:rPr>
          <w:rFonts w:eastAsia="Calibri"/>
          <w:b/>
          <w:i/>
          <w:lang w:val="en-US" w:eastAsia="en-US"/>
        </w:rPr>
        <w:t>at least 50% of youths complete grade 12</w:t>
      </w:r>
      <w:r w:rsidRPr="00AF5B17">
        <w:rPr>
          <w:rFonts w:eastAsia="Calibri"/>
          <w:lang w:val="en-US" w:eastAsia="en-US"/>
        </w:rPr>
        <w:t xml:space="preserve">. An alternative method of comparing </w:t>
      </w:r>
      <w:r>
        <w:rPr>
          <w:rFonts w:eastAsia="Calibri"/>
          <w:lang w:val="en-US" w:eastAsia="en-US"/>
        </w:rPr>
        <w:t xml:space="preserve">the number of </w:t>
      </w:r>
      <w:r w:rsidRPr="00AF5B17">
        <w:rPr>
          <w:rFonts w:eastAsia="Calibri"/>
          <w:lang w:val="en-US" w:eastAsia="en-US"/>
        </w:rPr>
        <w:t xml:space="preserve">matric passes </w:t>
      </w:r>
      <w:r w:rsidR="00397A1E">
        <w:rPr>
          <w:rFonts w:eastAsia="Calibri"/>
          <w:lang w:val="en-US" w:eastAsia="en-US"/>
        </w:rPr>
        <w:t xml:space="preserve">for a particular year </w:t>
      </w:r>
      <w:r w:rsidRPr="00AF5B17">
        <w:rPr>
          <w:rFonts w:eastAsia="Calibri"/>
          <w:lang w:val="en-US" w:eastAsia="en-US"/>
        </w:rPr>
        <w:t xml:space="preserve">to the 18-year-old population </w:t>
      </w:r>
      <w:r w:rsidR="00397A1E">
        <w:rPr>
          <w:rFonts w:eastAsia="Calibri"/>
          <w:lang w:val="en-US" w:eastAsia="en-US"/>
        </w:rPr>
        <w:t xml:space="preserve">of the same year </w:t>
      </w:r>
      <w:r w:rsidRPr="00AF5B17">
        <w:rPr>
          <w:rFonts w:eastAsia="Calibri"/>
          <w:lang w:val="en-US" w:eastAsia="en-US"/>
        </w:rPr>
        <w:t xml:space="preserve">suggests that </w:t>
      </w:r>
      <w:r w:rsidRPr="0097458C">
        <w:rPr>
          <w:rFonts w:eastAsia="Calibri"/>
          <w:b/>
          <w:i/>
          <w:lang w:val="en-US" w:eastAsia="en-US"/>
        </w:rPr>
        <w:t>the figure could be as high as 56%</w:t>
      </w:r>
      <w:r w:rsidRPr="00AF5B17">
        <w:rPr>
          <w:rFonts w:eastAsia="Calibri"/>
          <w:lang w:val="en-US" w:eastAsia="en-US"/>
        </w:rPr>
        <w:t xml:space="preserve">. But whichever method one uses there has been a consistent </w:t>
      </w:r>
      <w:r w:rsidRPr="0097458C">
        <w:rPr>
          <w:rFonts w:eastAsia="Calibri"/>
          <w:b/>
          <w:i/>
          <w:lang w:val="en-US" w:eastAsia="en-US"/>
        </w:rPr>
        <w:t>improvement over time</w:t>
      </w:r>
      <w:r w:rsidRPr="00AF5B17">
        <w:rPr>
          <w:rFonts w:eastAsia="Calibri"/>
          <w:lang w:val="en-US" w:eastAsia="en-US"/>
        </w:rPr>
        <w:t>.</w:t>
      </w:r>
    </w:p>
    <w:p w:rsidR="00755687" w:rsidRDefault="00755687" w:rsidP="00755687">
      <w:pPr>
        <w:autoSpaceDE w:val="0"/>
        <w:autoSpaceDN w:val="0"/>
        <w:adjustRightInd w:val="0"/>
        <w:spacing w:after="0"/>
        <w:jc w:val="both"/>
        <w:rPr>
          <w:rFonts w:ascii="Times New Roman" w:eastAsia="Calibri" w:hAnsi="Times New Roman" w:cs="Times New Roman"/>
          <w:sz w:val="24"/>
          <w:szCs w:val="24"/>
          <w:lang w:val="en-US"/>
        </w:rPr>
      </w:pPr>
    </w:p>
    <w:p w:rsidR="00A56D8C" w:rsidRDefault="00A56D8C" w:rsidP="00755687">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Table 1 shows the percentage of 22-25 year-olds who have completed at least Grade 12 for each year since 2009, using General Household Survey data. For these calculations one needs to select an age range which is old enough so as to avoid including large percentages of youths still in school and therefore possibly still going to complete Grade 12 (this would cause an </w:t>
      </w:r>
      <w:r>
        <w:rPr>
          <w:rFonts w:ascii="Times New Roman" w:eastAsia="Calibri" w:hAnsi="Times New Roman" w:cs="Times New Roman"/>
          <w:sz w:val="24"/>
          <w:szCs w:val="24"/>
          <w:lang w:val="en-US"/>
        </w:rPr>
        <w:lastRenderedPageBreak/>
        <w:t xml:space="preserve">underestimate of grade 12 completion) but which is still young enough so as to reflect recent trends in school completion. For this reason the age range of 22-25 year-olds has been selected. According to this methodology, the percentage of youths who have completed grade 12 has increased from about 44.9% in 2009 to about 53.8% in 2018. It should also be emphasized that these are </w:t>
      </w:r>
      <w:r w:rsidRPr="00A56D8C">
        <w:rPr>
          <w:rFonts w:ascii="Times New Roman" w:eastAsia="Calibri" w:hAnsi="Times New Roman" w:cs="Times New Roman"/>
          <w:i/>
          <w:sz w:val="24"/>
          <w:szCs w:val="24"/>
          <w:lang w:val="en-US"/>
        </w:rPr>
        <w:t>estimates</w:t>
      </w:r>
      <w:r>
        <w:rPr>
          <w:rFonts w:ascii="Times New Roman" w:eastAsia="Calibri" w:hAnsi="Times New Roman" w:cs="Times New Roman"/>
          <w:sz w:val="24"/>
          <w:szCs w:val="24"/>
          <w:lang w:val="en-US"/>
        </w:rPr>
        <w:t xml:space="preserve"> based on a nationally representative sample of households.</w:t>
      </w:r>
    </w:p>
    <w:p w:rsidR="00A56D8C" w:rsidRDefault="00A56D8C" w:rsidP="00755687">
      <w:pPr>
        <w:autoSpaceDE w:val="0"/>
        <w:autoSpaceDN w:val="0"/>
        <w:adjustRightInd w:val="0"/>
        <w:spacing w:after="0"/>
        <w:jc w:val="both"/>
        <w:rPr>
          <w:rFonts w:ascii="Times New Roman" w:eastAsia="Calibri" w:hAnsi="Times New Roman" w:cs="Times New Roman"/>
          <w:sz w:val="24"/>
          <w:szCs w:val="24"/>
          <w:lang w:val="en-US"/>
        </w:rPr>
      </w:pPr>
    </w:p>
    <w:p w:rsidR="00397A1E" w:rsidRPr="0095552D" w:rsidRDefault="00397A1E" w:rsidP="00397A1E">
      <w:pPr>
        <w:pStyle w:val="Caption"/>
        <w:keepNext/>
        <w:spacing w:after="0"/>
        <w:rPr>
          <w:rFonts w:ascii="Times New Roman" w:hAnsi="Times New Roman" w:cs="Times New Roman"/>
          <w:color w:val="auto"/>
          <w:sz w:val="22"/>
          <w:szCs w:val="22"/>
        </w:rPr>
      </w:pPr>
      <w:bookmarkStart w:id="0" w:name="_Toc20378002"/>
      <w:r w:rsidRPr="0095552D">
        <w:rPr>
          <w:rFonts w:ascii="Times New Roman" w:hAnsi="Times New Roman" w:cs="Times New Roman"/>
          <w:color w:val="auto"/>
          <w:sz w:val="22"/>
          <w:szCs w:val="22"/>
        </w:rPr>
        <w:t xml:space="preserve">Table </w:t>
      </w:r>
      <w:r w:rsidR="00A56D8C">
        <w:rPr>
          <w:rFonts w:ascii="Times New Roman" w:hAnsi="Times New Roman" w:cs="Times New Roman"/>
          <w:color w:val="auto"/>
          <w:sz w:val="22"/>
          <w:szCs w:val="22"/>
        </w:rPr>
        <w:t>1</w:t>
      </w:r>
      <w:r w:rsidRPr="0095552D">
        <w:rPr>
          <w:rFonts w:ascii="Times New Roman" w:hAnsi="Times New Roman" w:cs="Times New Roman"/>
          <w:color w:val="auto"/>
          <w:sz w:val="22"/>
          <w:szCs w:val="22"/>
        </w:rPr>
        <w:t xml:space="preserve">: Percentage of 22 to 25-year-olds who have completed </w:t>
      </w:r>
      <w:r>
        <w:rPr>
          <w:rFonts w:ascii="Times New Roman" w:hAnsi="Times New Roman" w:cs="Times New Roman"/>
          <w:color w:val="auto"/>
          <w:sz w:val="22"/>
          <w:szCs w:val="22"/>
        </w:rPr>
        <w:t xml:space="preserve">at least </w:t>
      </w:r>
      <w:r w:rsidRPr="0095552D">
        <w:rPr>
          <w:rFonts w:ascii="Times New Roman" w:hAnsi="Times New Roman" w:cs="Times New Roman"/>
          <w:color w:val="auto"/>
          <w:sz w:val="22"/>
          <w:szCs w:val="22"/>
        </w:rPr>
        <w:t xml:space="preserve">Grade 12 </w:t>
      </w:r>
      <w:r>
        <w:rPr>
          <w:rFonts w:ascii="Times New Roman" w:hAnsi="Times New Roman" w:cs="Times New Roman"/>
          <w:color w:val="auto"/>
          <w:sz w:val="22"/>
          <w:szCs w:val="22"/>
        </w:rPr>
        <w:t xml:space="preserve">or equivalent </w:t>
      </w:r>
      <w:r w:rsidRPr="0095552D">
        <w:rPr>
          <w:rFonts w:ascii="Times New Roman" w:hAnsi="Times New Roman" w:cs="Times New Roman"/>
          <w:color w:val="auto"/>
          <w:sz w:val="22"/>
          <w:szCs w:val="22"/>
        </w:rPr>
        <w:t>by population group, 2009-201</w:t>
      </w:r>
      <w:bookmarkEnd w:id="0"/>
      <w:r>
        <w:rPr>
          <w:rFonts w:ascii="Times New Roman" w:hAnsi="Times New Roman" w:cs="Times New Roman"/>
          <w:color w:val="auto"/>
          <w:sz w:val="22"/>
          <w:szCs w:val="22"/>
        </w:rPr>
        <w:t>8</w:t>
      </w:r>
    </w:p>
    <w:tbl>
      <w:tblPr>
        <w:tblW w:w="8926" w:type="dxa"/>
        <w:tblLook w:val="04A0" w:firstRow="1" w:lastRow="0" w:firstColumn="1" w:lastColumn="0" w:noHBand="0" w:noVBand="1"/>
      </w:tblPr>
      <w:tblGrid>
        <w:gridCol w:w="1980"/>
        <w:gridCol w:w="663"/>
        <w:gridCol w:w="663"/>
        <w:gridCol w:w="663"/>
        <w:gridCol w:w="704"/>
        <w:gridCol w:w="709"/>
        <w:gridCol w:w="709"/>
        <w:gridCol w:w="708"/>
        <w:gridCol w:w="709"/>
        <w:gridCol w:w="709"/>
        <w:gridCol w:w="709"/>
      </w:tblGrid>
      <w:tr w:rsidR="00397A1E" w:rsidRPr="0095552D" w:rsidTr="008F282D">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Population Group</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2009</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2010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2011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2012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2013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2014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2015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2016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2017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2018</w:t>
            </w:r>
          </w:p>
        </w:tc>
      </w:tr>
      <w:tr w:rsidR="00397A1E" w:rsidRPr="0095552D" w:rsidTr="008F282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African</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40.1</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41.1</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43.2</w:t>
            </w:r>
          </w:p>
        </w:tc>
        <w:tc>
          <w:tcPr>
            <w:tcW w:w="704"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43.6</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44.4</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48.4</w:t>
            </w:r>
          </w:p>
        </w:tc>
        <w:tc>
          <w:tcPr>
            <w:tcW w:w="708"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47.0</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46.7</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48.8</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51.6</w:t>
            </w:r>
          </w:p>
        </w:tc>
      </w:tr>
      <w:tr w:rsidR="00397A1E" w:rsidRPr="0095552D" w:rsidTr="008F282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Coloured</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45.2</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48.8</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43.9</w:t>
            </w:r>
          </w:p>
        </w:tc>
        <w:tc>
          <w:tcPr>
            <w:tcW w:w="704"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46.7</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45.5</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47.6</w:t>
            </w:r>
          </w:p>
        </w:tc>
        <w:tc>
          <w:tcPr>
            <w:tcW w:w="708"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49.7</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51.5</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45.8</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52.5</w:t>
            </w:r>
          </w:p>
        </w:tc>
      </w:tr>
      <w:tr w:rsidR="00397A1E" w:rsidRPr="0095552D" w:rsidTr="008F282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Indian</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83.2</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80.3</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84.6</w:t>
            </w:r>
          </w:p>
        </w:tc>
        <w:tc>
          <w:tcPr>
            <w:tcW w:w="704"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74.6</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81.8</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81.2</w:t>
            </w:r>
          </w:p>
        </w:tc>
        <w:tc>
          <w:tcPr>
            <w:tcW w:w="708"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78.5</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86.5</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81.3</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81.9</w:t>
            </w:r>
          </w:p>
        </w:tc>
      </w:tr>
      <w:tr w:rsidR="00397A1E" w:rsidRPr="0095552D" w:rsidTr="008F282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White</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85.9</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85.6</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89.1</w:t>
            </w:r>
          </w:p>
        </w:tc>
        <w:tc>
          <w:tcPr>
            <w:tcW w:w="704"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89.0</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86.9</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87.9</w:t>
            </w:r>
          </w:p>
        </w:tc>
        <w:tc>
          <w:tcPr>
            <w:tcW w:w="708"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85.6</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83.4</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79.2</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color w:val="000000"/>
                <w:lang w:eastAsia="en-ZA"/>
              </w:rPr>
            </w:pPr>
            <w:r w:rsidRPr="0095552D">
              <w:rPr>
                <w:rFonts w:ascii="Times New Roman" w:eastAsia="Times New Roman" w:hAnsi="Times New Roman" w:cs="Times New Roman"/>
                <w:color w:val="000000"/>
                <w:lang w:eastAsia="en-ZA"/>
              </w:rPr>
              <w:t>81.1</w:t>
            </w:r>
          </w:p>
        </w:tc>
      </w:tr>
      <w:tr w:rsidR="00397A1E" w:rsidRPr="0095552D" w:rsidTr="008F282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Total</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44.9</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45.6</w:t>
            </w:r>
          </w:p>
        </w:tc>
        <w:tc>
          <w:tcPr>
            <w:tcW w:w="663"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47.1</w:t>
            </w:r>
          </w:p>
        </w:tc>
        <w:tc>
          <w:tcPr>
            <w:tcW w:w="704"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47.4</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47.9</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51.4</w:t>
            </w:r>
          </w:p>
        </w:tc>
        <w:tc>
          <w:tcPr>
            <w:tcW w:w="708"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50.1</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50.0</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50.7</w:t>
            </w:r>
          </w:p>
        </w:tc>
        <w:tc>
          <w:tcPr>
            <w:tcW w:w="709" w:type="dxa"/>
            <w:tcBorders>
              <w:top w:val="nil"/>
              <w:left w:val="nil"/>
              <w:bottom w:val="single" w:sz="4" w:space="0" w:color="auto"/>
              <w:right w:val="single" w:sz="4" w:space="0" w:color="auto"/>
            </w:tcBorders>
            <w:shd w:val="clear" w:color="auto" w:fill="auto"/>
            <w:noWrap/>
            <w:vAlign w:val="bottom"/>
            <w:hideMark/>
          </w:tcPr>
          <w:p w:rsidR="00397A1E" w:rsidRPr="0095552D" w:rsidRDefault="00397A1E" w:rsidP="008F282D">
            <w:pPr>
              <w:spacing w:after="0" w:line="240" w:lineRule="auto"/>
              <w:jc w:val="center"/>
              <w:rPr>
                <w:rFonts w:ascii="Times New Roman" w:eastAsia="Times New Roman" w:hAnsi="Times New Roman" w:cs="Times New Roman"/>
                <w:b/>
                <w:color w:val="000000"/>
                <w:lang w:eastAsia="en-ZA"/>
              </w:rPr>
            </w:pPr>
            <w:r w:rsidRPr="0095552D">
              <w:rPr>
                <w:rFonts w:ascii="Times New Roman" w:eastAsia="Times New Roman" w:hAnsi="Times New Roman" w:cs="Times New Roman"/>
                <w:b/>
                <w:color w:val="000000"/>
                <w:lang w:eastAsia="en-ZA"/>
              </w:rPr>
              <w:t>53.8</w:t>
            </w:r>
          </w:p>
        </w:tc>
      </w:tr>
    </w:tbl>
    <w:p w:rsidR="00397A1E" w:rsidRPr="0095552D" w:rsidRDefault="00397A1E" w:rsidP="00397A1E">
      <w:pPr>
        <w:contextualSpacing/>
        <w:rPr>
          <w:rFonts w:ascii="Times New Roman" w:hAnsi="Times New Roman" w:cs="Times New Roman"/>
          <w:i/>
          <w:sz w:val="18"/>
        </w:rPr>
      </w:pPr>
      <w:r w:rsidRPr="0095552D">
        <w:rPr>
          <w:rFonts w:ascii="Times New Roman" w:hAnsi="Times New Roman" w:cs="Times New Roman"/>
          <w:b/>
          <w:i/>
          <w:sz w:val="18"/>
        </w:rPr>
        <w:t xml:space="preserve">Source: </w:t>
      </w:r>
      <w:r w:rsidRPr="0095552D">
        <w:rPr>
          <w:rFonts w:ascii="Times New Roman" w:hAnsi="Times New Roman" w:cs="Times New Roman"/>
          <w:i/>
          <w:sz w:val="18"/>
        </w:rPr>
        <w:t>Statistics South Africa, General Household Survey (GHS), DBE own calculations</w:t>
      </w:r>
    </w:p>
    <w:p w:rsidR="00397A1E" w:rsidRDefault="00397A1E" w:rsidP="00755687">
      <w:pPr>
        <w:autoSpaceDE w:val="0"/>
        <w:autoSpaceDN w:val="0"/>
        <w:adjustRightInd w:val="0"/>
        <w:spacing w:after="0"/>
        <w:jc w:val="both"/>
        <w:rPr>
          <w:rFonts w:ascii="Times New Roman" w:eastAsia="Calibri" w:hAnsi="Times New Roman" w:cs="Times New Roman"/>
          <w:sz w:val="24"/>
          <w:szCs w:val="24"/>
          <w:lang w:val="en-US"/>
        </w:rPr>
      </w:pPr>
    </w:p>
    <w:p w:rsidR="00755687" w:rsidRPr="0097458C" w:rsidRDefault="00755687" w:rsidP="00755687">
      <w:pPr>
        <w:autoSpaceDE w:val="0"/>
        <w:autoSpaceDN w:val="0"/>
        <w:adjustRightInd w:val="0"/>
        <w:spacing w:after="0"/>
        <w:jc w:val="both"/>
        <w:rPr>
          <w:rFonts w:ascii="Times New Roman" w:eastAsia="Calibri" w:hAnsi="Times New Roman" w:cs="Times New Roman"/>
          <w:b/>
          <w:sz w:val="24"/>
          <w:szCs w:val="24"/>
          <w:lang w:val="en-US"/>
        </w:rPr>
      </w:pPr>
      <w:r w:rsidRPr="0097458C">
        <w:rPr>
          <w:rFonts w:ascii="Times New Roman" w:eastAsia="Calibri" w:hAnsi="Times New Roman" w:cs="Times New Roman"/>
          <w:b/>
          <w:sz w:val="24"/>
          <w:szCs w:val="24"/>
          <w:lang w:val="en-US"/>
        </w:rPr>
        <w:t>Drop-out rates for each grade</w:t>
      </w:r>
    </w:p>
    <w:p w:rsidR="00755687" w:rsidRDefault="00755687" w:rsidP="00755687">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Another way of measuring drop-out rates is to look at the percentage of learners who drop out after each grade. The</w:t>
      </w:r>
      <w:r w:rsidR="00A56D8C">
        <w:rPr>
          <w:rFonts w:ascii="Times New Roman" w:eastAsia="Calibri" w:hAnsi="Times New Roman" w:cs="Times New Roman"/>
          <w:sz w:val="24"/>
          <w:szCs w:val="24"/>
          <w:lang w:val="en-US"/>
        </w:rPr>
        <w:t>se can also be estimated using STATS SA’s</w:t>
      </w:r>
      <w:r>
        <w:rPr>
          <w:rFonts w:ascii="Times New Roman" w:eastAsia="Calibri" w:hAnsi="Times New Roman" w:cs="Times New Roman"/>
          <w:sz w:val="24"/>
          <w:szCs w:val="24"/>
          <w:lang w:val="en-US"/>
        </w:rPr>
        <w:t xml:space="preserve"> GHS data. The table below</w:t>
      </w:r>
      <w:r w:rsidRPr="00122B81">
        <w:rPr>
          <w:rFonts w:ascii="Times New Roman" w:eastAsia="Calibri" w:hAnsi="Times New Roman" w:cs="Times New Roman"/>
          <w:sz w:val="24"/>
          <w:szCs w:val="24"/>
          <w:lang w:val="en-US"/>
        </w:rPr>
        <w:t xml:space="preserve"> shows the drop-out rates and survival rates for </w:t>
      </w:r>
      <w:r w:rsidR="00A56D8C">
        <w:rPr>
          <w:rFonts w:ascii="Times New Roman" w:eastAsia="Calibri" w:hAnsi="Times New Roman" w:cs="Times New Roman"/>
          <w:sz w:val="24"/>
          <w:szCs w:val="24"/>
          <w:lang w:val="en-US"/>
        </w:rPr>
        <w:t>those born during 1992-1994</w:t>
      </w:r>
      <w:r w:rsidRPr="00122B81">
        <w:rPr>
          <w:rFonts w:ascii="Times New Roman" w:eastAsia="Calibri" w:hAnsi="Times New Roman" w:cs="Times New Roman"/>
          <w:sz w:val="24"/>
          <w:szCs w:val="24"/>
          <w:lang w:val="en-US"/>
        </w:rPr>
        <w:t xml:space="preserve"> </w:t>
      </w:r>
      <w:r w:rsidR="00A56D8C">
        <w:rPr>
          <w:rFonts w:ascii="Times New Roman" w:eastAsia="Calibri" w:hAnsi="Times New Roman" w:cs="Times New Roman"/>
          <w:sz w:val="24"/>
          <w:szCs w:val="24"/>
          <w:lang w:val="en-US"/>
        </w:rPr>
        <w:t xml:space="preserve">(and surveyed </w:t>
      </w:r>
      <w:proofErr w:type="gramStart"/>
      <w:r w:rsidR="00A56D8C">
        <w:rPr>
          <w:rFonts w:ascii="Times New Roman" w:eastAsia="Calibri" w:hAnsi="Times New Roman" w:cs="Times New Roman"/>
          <w:sz w:val="24"/>
          <w:szCs w:val="24"/>
          <w:lang w:val="en-US"/>
        </w:rPr>
        <w:t>between 2016-2018</w:t>
      </w:r>
      <w:proofErr w:type="gramEnd"/>
      <w:r>
        <w:rPr>
          <w:rFonts w:ascii="Times New Roman" w:eastAsia="Calibri" w:hAnsi="Times New Roman" w:cs="Times New Roman"/>
          <w:sz w:val="24"/>
          <w:szCs w:val="24"/>
          <w:lang w:val="en-US"/>
        </w:rPr>
        <w:t>)</w:t>
      </w:r>
      <w:r w:rsidR="00A56D8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A56D8C">
        <w:rPr>
          <w:rFonts w:ascii="Times New Roman" w:eastAsia="Calibri" w:hAnsi="Times New Roman" w:cs="Times New Roman"/>
          <w:sz w:val="24"/>
          <w:szCs w:val="24"/>
          <w:lang w:val="en-US"/>
        </w:rPr>
        <w:t>This specific age cohort was chosen</w:t>
      </w:r>
      <w:r w:rsidRPr="00122B81">
        <w:rPr>
          <w:rFonts w:ascii="Times New Roman" w:eastAsia="Calibri" w:hAnsi="Times New Roman" w:cs="Times New Roman"/>
          <w:sz w:val="24"/>
          <w:szCs w:val="24"/>
          <w:lang w:val="en-US"/>
        </w:rPr>
        <w:t xml:space="preserve"> because </w:t>
      </w:r>
      <w:r w:rsidR="00A56D8C">
        <w:rPr>
          <w:rFonts w:ascii="Times New Roman" w:eastAsia="Calibri" w:hAnsi="Times New Roman" w:cs="Times New Roman"/>
          <w:sz w:val="24"/>
          <w:szCs w:val="24"/>
          <w:lang w:val="en-US"/>
        </w:rPr>
        <w:t xml:space="preserve">nearly all these </w:t>
      </w:r>
      <w:r w:rsidRPr="00122B81">
        <w:rPr>
          <w:rFonts w:ascii="Times New Roman" w:eastAsia="Calibri" w:hAnsi="Times New Roman" w:cs="Times New Roman"/>
          <w:sz w:val="24"/>
          <w:szCs w:val="24"/>
          <w:lang w:val="en-US"/>
        </w:rPr>
        <w:t xml:space="preserve">individuals would </w:t>
      </w:r>
      <w:r>
        <w:rPr>
          <w:rFonts w:ascii="Times New Roman" w:eastAsia="Calibri" w:hAnsi="Times New Roman" w:cs="Times New Roman"/>
          <w:sz w:val="24"/>
          <w:szCs w:val="24"/>
          <w:lang w:val="en-US"/>
        </w:rPr>
        <w:t xml:space="preserve">have been old enough to </w:t>
      </w:r>
      <w:r w:rsidRPr="00122B81">
        <w:rPr>
          <w:rFonts w:ascii="Times New Roman" w:eastAsia="Calibri" w:hAnsi="Times New Roman" w:cs="Times New Roman"/>
          <w:sz w:val="24"/>
          <w:szCs w:val="24"/>
          <w:lang w:val="en-US"/>
        </w:rPr>
        <w:t xml:space="preserve">have completed school </w:t>
      </w:r>
      <w:r>
        <w:rPr>
          <w:rFonts w:ascii="Times New Roman" w:eastAsia="Calibri" w:hAnsi="Times New Roman" w:cs="Times New Roman"/>
          <w:sz w:val="24"/>
          <w:szCs w:val="24"/>
          <w:lang w:val="en-US"/>
        </w:rPr>
        <w:t>at the time when</w:t>
      </w:r>
      <w:r w:rsidR="00547A93">
        <w:rPr>
          <w:rFonts w:ascii="Times New Roman" w:eastAsia="Calibri" w:hAnsi="Times New Roman" w:cs="Times New Roman"/>
          <w:sz w:val="24"/>
          <w:szCs w:val="24"/>
          <w:lang w:val="en-US"/>
        </w:rPr>
        <w:t xml:space="preserve"> the GHS data was collected</w:t>
      </w:r>
      <w:r w:rsidRPr="00122B81">
        <w:rPr>
          <w:rFonts w:ascii="Times New Roman" w:eastAsia="Calibri" w:hAnsi="Times New Roman" w:cs="Times New Roman"/>
          <w:sz w:val="24"/>
          <w:szCs w:val="24"/>
          <w:lang w:val="en-US"/>
        </w:rPr>
        <w:t>. The survival rate</w:t>
      </w:r>
      <w:r>
        <w:rPr>
          <w:rFonts w:ascii="Times New Roman" w:eastAsia="Calibri" w:hAnsi="Times New Roman" w:cs="Times New Roman"/>
          <w:sz w:val="24"/>
          <w:szCs w:val="24"/>
          <w:lang w:val="en-US"/>
        </w:rPr>
        <w:t>s</w:t>
      </w:r>
      <w:r w:rsidRPr="00122B81">
        <w:rPr>
          <w:rFonts w:ascii="Times New Roman" w:eastAsia="Calibri" w:hAnsi="Times New Roman" w:cs="Times New Roman"/>
          <w:sz w:val="24"/>
          <w:szCs w:val="24"/>
          <w:lang w:val="en-US"/>
        </w:rPr>
        <w:t xml:space="preserve"> in the table </w:t>
      </w:r>
      <w:r>
        <w:rPr>
          <w:rFonts w:ascii="Times New Roman" w:eastAsia="Calibri" w:hAnsi="Times New Roman" w:cs="Times New Roman"/>
          <w:sz w:val="24"/>
          <w:szCs w:val="24"/>
          <w:lang w:val="en-US"/>
        </w:rPr>
        <w:t xml:space="preserve">show the percentage of individuals who </w:t>
      </w:r>
      <w:r w:rsidRPr="00122B81">
        <w:rPr>
          <w:rFonts w:ascii="Times New Roman" w:eastAsia="Calibri" w:hAnsi="Times New Roman" w:cs="Times New Roman"/>
          <w:sz w:val="24"/>
          <w:szCs w:val="24"/>
          <w:lang w:val="en-US"/>
        </w:rPr>
        <w:t xml:space="preserve">reached each grade.  The rate was then converted to show the number of individuals, out of a 1000 individuals </w:t>
      </w:r>
      <w:r>
        <w:rPr>
          <w:rFonts w:ascii="Times New Roman" w:eastAsia="Calibri" w:hAnsi="Times New Roman" w:cs="Times New Roman"/>
          <w:sz w:val="24"/>
          <w:szCs w:val="24"/>
          <w:lang w:val="en-US"/>
        </w:rPr>
        <w:t>who</w:t>
      </w:r>
      <w:r w:rsidRPr="00122B81">
        <w:rPr>
          <w:rFonts w:ascii="Times New Roman" w:eastAsia="Calibri" w:hAnsi="Times New Roman" w:cs="Times New Roman"/>
          <w:sz w:val="24"/>
          <w:szCs w:val="24"/>
          <w:lang w:val="en-US"/>
        </w:rPr>
        <w:t xml:space="preserve"> reached each grade. </w:t>
      </w:r>
      <w:r w:rsidR="00547A93">
        <w:rPr>
          <w:rFonts w:ascii="Times New Roman" w:eastAsia="Calibri" w:hAnsi="Times New Roman" w:cs="Times New Roman"/>
          <w:sz w:val="24"/>
          <w:szCs w:val="24"/>
          <w:lang w:val="en-US"/>
        </w:rPr>
        <w:t>The final column also shows</w:t>
      </w:r>
      <w:r>
        <w:rPr>
          <w:rFonts w:ascii="Times New Roman" w:eastAsia="Calibri" w:hAnsi="Times New Roman" w:cs="Times New Roman"/>
          <w:sz w:val="24"/>
          <w:szCs w:val="24"/>
          <w:lang w:val="en-US"/>
        </w:rPr>
        <w:t xml:space="preserve"> the percentage of all individuals reaching particular grades who then drop out before attaining the next grade.</w:t>
      </w:r>
      <w:r w:rsidR="00547A93">
        <w:rPr>
          <w:rFonts w:ascii="Times New Roman" w:eastAsia="Calibri" w:hAnsi="Times New Roman" w:cs="Times New Roman"/>
          <w:sz w:val="24"/>
          <w:szCs w:val="24"/>
          <w:lang w:val="en-US"/>
        </w:rPr>
        <w:t xml:space="preserve"> This methodology is more in line with commonly used international definitions of dropout rates.</w:t>
      </w:r>
    </w:p>
    <w:p w:rsidR="00755687" w:rsidRDefault="00755687" w:rsidP="00755687">
      <w:pPr>
        <w:autoSpaceDE w:val="0"/>
        <w:autoSpaceDN w:val="0"/>
        <w:adjustRightInd w:val="0"/>
        <w:spacing w:after="0"/>
        <w:jc w:val="both"/>
        <w:rPr>
          <w:rFonts w:ascii="Times New Roman" w:eastAsia="Calibri" w:hAnsi="Times New Roman" w:cs="Times New Roman"/>
          <w:sz w:val="24"/>
          <w:szCs w:val="24"/>
          <w:lang w:val="en-US"/>
        </w:rPr>
      </w:pPr>
    </w:p>
    <w:p w:rsidR="00755687" w:rsidRPr="00122B81" w:rsidRDefault="00755687" w:rsidP="00755687">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Note that several years are data have been combined for this analysis in order to ensure that there are sufficient sample sizes in each of the cells. It is also important to note that whilst this method provides the </w:t>
      </w:r>
      <w:r w:rsidR="00547A93">
        <w:rPr>
          <w:rFonts w:ascii="Times New Roman" w:eastAsia="Calibri" w:hAnsi="Times New Roman" w:cs="Times New Roman"/>
          <w:sz w:val="24"/>
          <w:szCs w:val="24"/>
          <w:lang w:val="en-US"/>
        </w:rPr>
        <w:t>most reliable available estimates of drop</w:t>
      </w:r>
      <w:r>
        <w:rPr>
          <w:rFonts w:ascii="Times New Roman" w:eastAsia="Calibri" w:hAnsi="Times New Roman" w:cs="Times New Roman"/>
          <w:sz w:val="24"/>
          <w:szCs w:val="24"/>
          <w:lang w:val="en-US"/>
        </w:rPr>
        <w:t>out rates by grad</w:t>
      </w:r>
      <w:r w:rsidR="00547A93">
        <w:rPr>
          <w:rFonts w:ascii="Times New Roman" w:eastAsia="Calibri" w:hAnsi="Times New Roman" w:cs="Times New Roman"/>
          <w:sz w:val="24"/>
          <w:szCs w:val="24"/>
          <w:lang w:val="en-US"/>
        </w:rPr>
        <w:t>e, it does not reflect the drop</w:t>
      </w:r>
      <w:r>
        <w:rPr>
          <w:rFonts w:ascii="Times New Roman" w:eastAsia="Calibri" w:hAnsi="Times New Roman" w:cs="Times New Roman"/>
          <w:sz w:val="24"/>
          <w:szCs w:val="24"/>
          <w:lang w:val="en-US"/>
        </w:rPr>
        <w:t xml:space="preserve">out that happened in a particular year – the data may have been collected from 22-26 year-olds </w:t>
      </w:r>
      <w:proofErr w:type="gramStart"/>
      <w:r>
        <w:rPr>
          <w:rFonts w:ascii="Times New Roman" w:eastAsia="Calibri" w:hAnsi="Times New Roman" w:cs="Times New Roman"/>
          <w:sz w:val="24"/>
          <w:szCs w:val="24"/>
          <w:lang w:val="en-US"/>
        </w:rPr>
        <w:t>between 2014-2016 but those youths</w:t>
      </w:r>
      <w:proofErr w:type="gramEnd"/>
      <w:r>
        <w:rPr>
          <w:rFonts w:ascii="Times New Roman" w:eastAsia="Calibri" w:hAnsi="Times New Roman" w:cs="Times New Roman"/>
          <w:sz w:val="24"/>
          <w:szCs w:val="24"/>
          <w:lang w:val="en-US"/>
        </w:rPr>
        <w:t xml:space="preserve"> may have dropped out of school in an earlier year. </w:t>
      </w:r>
    </w:p>
    <w:p w:rsidR="00755687" w:rsidRPr="00122B81" w:rsidRDefault="00755687" w:rsidP="00755687">
      <w:pPr>
        <w:autoSpaceDE w:val="0"/>
        <w:autoSpaceDN w:val="0"/>
        <w:adjustRightInd w:val="0"/>
        <w:spacing w:after="0"/>
        <w:jc w:val="both"/>
        <w:rPr>
          <w:rFonts w:ascii="Times New Roman" w:eastAsia="Calibri" w:hAnsi="Times New Roman" w:cs="Times New Roman"/>
          <w:sz w:val="24"/>
          <w:szCs w:val="24"/>
          <w:lang w:val="en-US"/>
        </w:rPr>
      </w:pPr>
    </w:p>
    <w:p w:rsidR="00755687" w:rsidRPr="00122B81" w:rsidRDefault="00547A93" w:rsidP="00755687">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Interpretation of Table 2</w:t>
      </w:r>
      <w:r w:rsidR="00755687" w:rsidRPr="00122B81">
        <w:rPr>
          <w:rFonts w:ascii="Times New Roman" w:eastAsia="Calibri" w:hAnsi="Times New Roman" w:cs="Times New Roman"/>
          <w:sz w:val="24"/>
          <w:szCs w:val="24"/>
          <w:lang w:val="en-US"/>
        </w:rPr>
        <w:t>:</w:t>
      </w:r>
    </w:p>
    <w:p w:rsidR="003E467B" w:rsidRDefault="00755687" w:rsidP="00755687">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 estimated</w:t>
      </w:r>
      <w:r w:rsidR="00547A93">
        <w:rPr>
          <w:rFonts w:ascii="Times New Roman" w:eastAsia="Calibri" w:hAnsi="Times New Roman" w:cs="Times New Roman"/>
          <w:sz w:val="24"/>
          <w:szCs w:val="24"/>
          <w:lang w:val="en-US"/>
        </w:rPr>
        <w:t xml:space="preserve"> 0.68% of</w:t>
      </w:r>
      <w:r>
        <w:rPr>
          <w:rFonts w:ascii="Times New Roman" w:eastAsia="Calibri" w:hAnsi="Times New Roman" w:cs="Times New Roman"/>
          <w:sz w:val="24"/>
          <w:szCs w:val="24"/>
          <w:lang w:val="en-US"/>
        </w:rPr>
        <w:t xml:space="preserve"> youths </w:t>
      </w:r>
      <w:r w:rsidR="00547A93">
        <w:rPr>
          <w:rFonts w:ascii="Times New Roman" w:eastAsia="Calibri" w:hAnsi="Times New Roman" w:cs="Times New Roman"/>
          <w:sz w:val="24"/>
          <w:szCs w:val="24"/>
          <w:lang w:val="en-US"/>
        </w:rPr>
        <w:t xml:space="preserve">were </w:t>
      </w:r>
      <w:r>
        <w:rPr>
          <w:rFonts w:ascii="Times New Roman" w:eastAsia="Calibri" w:hAnsi="Times New Roman" w:cs="Times New Roman"/>
          <w:sz w:val="24"/>
          <w:szCs w:val="24"/>
          <w:lang w:val="en-US"/>
        </w:rPr>
        <w:t xml:space="preserve">reported to have </w:t>
      </w:r>
      <w:r w:rsidR="00547A93">
        <w:rPr>
          <w:rFonts w:ascii="Times New Roman" w:eastAsia="Calibri" w:hAnsi="Times New Roman" w:cs="Times New Roman"/>
          <w:sz w:val="24"/>
          <w:szCs w:val="24"/>
          <w:lang w:val="en-US"/>
        </w:rPr>
        <w:t>no schooling</w:t>
      </w:r>
      <w:r>
        <w:rPr>
          <w:rFonts w:ascii="Times New Roman" w:eastAsia="Calibri" w:hAnsi="Times New Roman" w:cs="Times New Roman"/>
          <w:sz w:val="24"/>
          <w:szCs w:val="24"/>
          <w:lang w:val="en-US"/>
        </w:rPr>
        <w:t xml:space="preserve">. </w:t>
      </w:r>
      <w:r w:rsidR="00547A93">
        <w:rPr>
          <w:rFonts w:ascii="Times New Roman" w:eastAsia="Calibri" w:hAnsi="Times New Roman" w:cs="Times New Roman"/>
          <w:sz w:val="24"/>
          <w:szCs w:val="24"/>
          <w:lang w:val="en-US"/>
        </w:rPr>
        <w:t xml:space="preserve">Of the 99.32% of youths who do complete Grade 1, it is estimated that 0.10% dropout after Grade 1 without completing grade 2. It is evident that the dropout rates are low in the earlier grades, </w:t>
      </w:r>
      <w:r w:rsidR="009E0F37">
        <w:rPr>
          <w:rFonts w:ascii="Times New Roman" w:eastAsia="Calibri" w:hAnsi="Times New Roman" w:cs="Times New Roman"/>
          <w:sz w:val="24"/>
          <w:szCs w:val="24"/>
          <w:lang w:val="en-US"/>
        </w:rPr>
        <w:t xml:space="preserve">but increase significantly throughout secondary school. For example, it is estimated that 24.08% of those who reach grade 11 drop out of school without completing Grade 12. A similar pattern exists for Grade repetition rates (as shown in Table 3), where these also increase significantly in grades 10 and 11. </w:t>
      </w:r>
      <w:r w:rsidR="003E467B">
        <w:rPr>
          <w:rFonts w:ascii="Times New Roman" w:eastAsia="Calibri" w:hAnsi="Times New Roman" w:cs="Times New Roman"/>
          <w:sz w:val="24"/>
          <w:szCs w:val="24"/>
          <w:lang w:val="en-US"/>
        </w:rPr>
        <w:t>A comparison with previous analysis conducted by the department indicates that dropout rates are now considerably lower than they were previously.</w:t>
      </w:r>
    </w:p>
    <w:p w:rsidR="00755687" w:rsidRDefault="009E0F37" w:rsidP="00755687">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Research would indicate that the high dropout and repetition rates towards the end of secondary are symptomatic of weak learning foundations which become more apparent as learners get closer to the National Senior Certificate examination. The department is therefore prioritizing interventions both to keep learners in school and to improve the quality of learning outcomes throughout the school system so that learners reach grades 10, 11 and 12 better equipped for the National Senior Certificate examination.</w:t>
      </w:r>
      <w:r w:rsidR="003E467B">
        <w:rPr>
          <w:rFonts w:ascii="Times New Roman" w:eastAsia="Calibri" w:hAnsi="Times New Roman" w:cs="Times New Roman"/>
          <w:sz w:val="24"/>
          <w:szCs w:val="24"/>
          <w:lang w:val="en-US"/>
        </w:rPr>
        <w:t xml:space="preserve"> Furthermore, the department is aiming to ensure that more youths who do not complete the National Senior Certificate still do obtain some form of educational qualification and gain access to other post-schooling education and training opportunities, such as technical and vocational education.</w:t>
      </w:r>
    </w:p>
    <w:p w:rsidR="00EC0E87" w:rsidRPr="00EC0E87" w:rsidRDefault="00A56D8C" w:rsidP="00EC0E87">
      <w:pPr>
        <w:spacing w:before="100" w:beforeAutospacing="1" w:after="100" w:afterAutospacing="1" w:line="259" w:lineRule="auto"/>
        <w:jc w:val="both"/>
        <w:outlineLvl w:val="0"/>
        <w:rPr>
          <w:rFonts w:ascii="Times New Roman" w:eastAsia="Times New Roman" w:hAnsi="Times New Roman" w:cs="Times New Roman"/>
          <w:b/>
          <w:iCs/>
          <w:sz w:val="20"/>
          <w:szCs w:val="20"/>
        </w:rPr>
      </w:pPr>
      <w:r>
        <w:rPr>
          <w:rFonts w:ascii="Times New Roman" w:eastAsia="Times New Roman" w:hAnsi="Times New Roman" w:cs="Times New Roman"/>
          <w:b/>
          <w:sz w:val="20"/>
          <w:szCs w:val="20"/>
          <w:lang w:val="en-US"/>
        </w:rPr>
        <w:t>Table 2</w:t>
      </w:r>
      <w:r w:rsidR="0095552D">
        <w:rPr>
          <w:rFonts w:ascii="Times New Roman" w:eastAsia="Times New Roman" w:hAnsi="Times New Roman" w:cs="Times New Roman"/>
          <w:b/>
          <w:sz w:val="20"/>
          <w:szCs w:val="20"/>
          <w:lang w:val="en-US"/>
        </w:rPr>
        <w:t xml:space="preserve">: </w:t>
      </w:r>
      <w:r w:rsidR="00EC0E87" w:rsidRPr="00EC0E87">
        <w:rPr>
          <w:rFonts w:ascii="Times New Roman" w:eastAsia="Times New Roman" w:hAnsi="Times New Roman" w:cs="Times New Roman"/>
          <w:b/>
          <w:sz w:val="20"/>
          <w:szCs w:val="20"/>
          <w:lang w:val="en-US"/>
        </w:rPr>
        <w:t>Survival rates and drop-out rates, associated with each grade</w:t>
      </w:r>
    </w:p>
    <w:tbl>
      <w:tblPr>
        <w:tblW w:w="7763" w:type="dxa"/>
        <w:tblLook w:val="04A0" w:firstRow="1" w:lastRow="0" w:firstColumn="1" w:lastColumn="0" w:noHBand="0" w:noVBand="1"/>
      </w:tblPr>
      <w:tblGrid>
        <w:gridCol w:w="1300"/>
        <w:gridCol w:w="1927"/>
        <w:gridCol w:w="1701"/>
        <w:gridCol w:w="2835"/>
      </w:tblGrid>
      <w:tr w:rsidR="00EC0E87" w:rsidRPr="00EC0E87" w:rsidTr="008F282D">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 </w:t>
            </w:r>
          </w:p>
        </w:tc>
        <w:tc>
          <w:tcPr>
            <w:tcW w:w="6463" w:type="dxa"/>
            <w:gridSpan w:val="3"/>
            <w:tcBorders>
              <w:top w:val="single" w:sz="4" w:space="0" w:color="auto"/>
              <w:left w:val="nil"/>
              <w:bottom w:val="single" w:sz="4" w:space="0" w:color="auto"/>
              <w:right w:val="single" w:sz="4" w:space="0" w:color="auto"/>
            </w:tcBorders>
            <w:shd w:val="clear" w:color="auto" w:fill="auto"/>
            <w:noWrap/>
            <w:vAlign w:val="bottom"/>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b/>
                <w:bCs/>
                <w:sz w:val="20"/>
                <w:szCs w:val="20"/>
              </w:rPr>
            </w:pPr>
            <w:r w:rsidRPr="00EC0E87">
              <w:rPr>
                <w:rFonts w:ascii="Times New Roman" w:eastAsia="Times New Roman" w:hAnsi="Times New Roman" w:cs="Times New Roman"/>
                <w:b/>
                <w:bCs/>
                <w:sz w:val="20"/>
                <w:szCs w:val="20"/>
              </w:rPr>
              <w:t>2016-2018</w:t>
            </w:r>
            <w:r w:rsidR="0095552D">
              <w:rPr>
                <w:rFonts w:ascii="Times New Roman" w:eastAsia="Times New Roman" w:hAnsi="Times New Roman" w:cs="Times New Roman"/>
                <w:b/>
                <w:bCs/>
                <w:sz w:val="20"/>
                <w:szCs w:val="20"/>
              </w:rPr>
              <w:t xml:space="preserve"> Pooled datasets (For those born 1992-1994)</w:t>
            </w:r>
          </w:p>
        </w:tc>
      </w:tr>
      <w:tr w:rsidR="00EC0E87" w:rsidRPr="00EC0E87" w:rsidTr="008F282D">
        <w:trPr>
          <w:trHeight w:val="1038"/>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b/>
                <w:bCs/>
                <w:sz w:val="20"/>
                <w:szCs w:val="20"/>
              </w:rPr>
            </w:pPr>
            <w:r w:rsidRPr="00EC0E87">
              <w:rPr>
                <w:rFonts w:ascii="Times New Roman" w:eastAsia="Times New Roman" w:hAnsi="Times New Roman" w:cs="Times New Roman"/>
                <w:b/>
                <w:bCs/>
                <w:sz w:val="20"/>
                <w:szCs w:val="20"/>
              </w:rPr>
              <w:t>Survival Rate</w:t>
            </w:r>
          </w:p>
        </w:tc>
        <w:tc>
          <w:tcPr>
            <w:tcW w:w="1701" w:type="dxa"/>
            <w:tcBorders>
              <w:top w:val="nil"/>
              <w:left w:val="nil"/>
              <w:bottom w:val="single" w:sz="4" w:space="0" w:color="auto"/>
              <w:right w:val="single" w:sz="4" w:space="0" w:color="auto"/>
            </w:tcBorders>
            <w:shd w:val="clear" w:color="auto" w:fill="auto"/>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b/>
                <w:bCs/>
                <w:sz w:val="20"/>
                <w:szCs w:val="20"/>
              </w:rPr>
            </w:pPr>
            <w:r w:rsidRPr="00EC0E87">
              <w:rPr>
                <w:rFonts w:ascii="Times New Roman" w:eastAsia="Times New Roman" w:hAnsi="Times New Roman" w:cs="Times New Roman"/>
                <w:b/>
                <w:bCs/>
                <w:sz w:val="20"/>
                <w:szCs w:val="20"/>
              </w:rPr>
              <w:t>Survival per 1000</w:t>
            </w:r>
            <w:r w:rsidR="0095552D">
              <w:rPr>
                <w:rFonts w:ascii="Times New Roman" w:eastAsia="Times New Roman" w:hAnsi="Times New Roman" w:cs="Times New Roman"/>
                <w:b/>
                <w:bCs/>
                <w:sz w:val="20"/>
                <w:szCs w:val="20"/>
              </w:rPr>
              <w:t xml:space="preserve"> youths</w:t>
            </w:r>
          </w:p>
        </w:tc>
        <w:tc>
          <w:tcPr>
            <w:tcW w:w="2835" w:type="dxa"/>
            <w:tcBorders>
              <w:top w:val="nil"/>
              <w:left w:val="nil"/>
              <w:bottom w:val="single" w:sz="4" w:space="0" w:color="auto"/>
              <w:right w:val="single" w:sz="4" w:space="0" w:color="auto"/>
            </w:tcBorders>
            <w:shd w:val="clear" w:color="auto" w:fill="auto"/>
            <w:vAlign w:val="center"/>
            <w:hideMark/>
          </w:tcPr>
          <w:p w:rsidR="00EC0E87" w:rsidRPr="00EC0E87" w:rsidRDefault="00EC0E87" w:rsidP="0095552D">
            <w:pPr>
              <w:spacing w:before="100" w:beforeAutospacing="1" w:after="100" w:afterAutospacing="1" w:line="259" w:lineRule="auto"/>
              <w:jc w:val="both"/>
              <w:outlineLvl w:val="0"/>
              <w:rPr>
                <w:rFonts w:ascii="Times New Roman" w:eastAsia="Times New Roman" w:hAnsi="Times New Roman" w:cs="Times New Roman"/>
                <w:b/>
                <w:bCs/>
                <w:sz w:val="20"/>
                <w:szCs w:val="20"/>
              </w:rPr>
            </w:pPr>
            <w:r w:rsidRPr="00EC0E87">
              <w:rPr>
                <w:rFonts w:ascii="Times New Roman" w:eastAsia="Times New Roman" w:hAnsi="Times New Roman" w:cs="Times New Roman"/>
                <w:b/>
                <w:bCs/>
                <w:sz w:val="20"/>
                <w:szCs w:val="20"/>
              </w:rPr>
              <w:t xml:space="preserve">Percentage dropping out </w:t>
            </w:r>
            <w:r w:rsidR="0095552D">
              <w:rPr>
                <w:rFonts w:ascii="Times New Roman" w:eastAsia="Times New Roman" w:hAnsi="Times New Roman" w:cs="Times New Roman"/>
                <w:b/>
                <w:bCs/>
                <w:sz w:val="20"/>
                <w:szCs w:val="20"/>
              </w:rPr>
              <w:t>after attaining this Grade</w:t>
            </w:r>
          </w:p>
        </w:tc>
      </w:tr>
      <w:tr w:rsidR="00EC0E87" w:rsidRPr="00EC0E87" w:rsidTr="008F282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Total cohort</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 </w:t>
            </w:r>
          </w:p>
        </w:tc>
        <w:tc>
          <w:tcPr>
            <w:tcW w:w="2835"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 </w:t>
            </w:r>
          </w:p>
        </w:tc>
      </w:tr>
      <w:tr w:rsidR="00EC0E87" w:rsidRPr="00EC0E87" w:rsidTr="008F282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No schooling</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1000</w:t>
            </w:r>
          </w:p>
        </w:tc>
        <w:tc>
          <w:tcPr>
            <w:tcW w:w="2835"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0,68%</w:t>
            </w:r>
          </w:p>
        </w:tc>
      </w:tr>
      <w:tr w:rsidR="00EC0E87" w:rsidRPr="00EC0E87" w:rsidTr="008F282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Grade 1</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99,32</w:t>
            </w:r>
            <w:r w:rsidRPr="00EC0E8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993</w:t>
            </w:r>
          </w:p>
        </w:tc>
        <w:tc>
          <w:tcPr>
            <w:tcW w:w="2835" w:type="dxa"/>
            <w:tcBorders>
              <w:top w:val="nil"/>
              <w:left w:val="nil"/>
              <w:bottom w:val="single" w:sz="4" w:space="0" w:color="auto"/>
              <w:right w:val="single" w:sz="4" w:space="0" w:color="auto"/>
            </w:tcBorders>
            <w:shd w:val="clear" w:color="auto" w:fill="auto"/>
            <w:noWrap/>
            <w:vAlign w:val="center"/>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0,10%</w:t>
            </w:r>
          </w:p>
        </w:tc>
      </w:tr>
      <w:tr w:rsidR="00EC0E87" w:rsidRPr="00EC0E87" w:rsidTr="008F282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Grade 2</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99,22</w:t>
            </w:r>
            <w:r w:rsidRPr="00EC0E8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992</w:t>
            </w:r>
          </w:p>
        </w:tc>
        <w:tc>
          <w:tcPr>
            <w:tcW w:w="2835" w:type="dxa"/>
            <w:tcBorders>
              <w:top w:val="nil"/>
              <w:left w:val="nil"/>
              <w:bottom w:val="single" w:sz="4" w:space="0" w:color="auto"/>
              <w:right w:val="single" w:sz="4" w:space="0" w:color="auto"/>
            </w:tcBorders>
            <w:shd w:val="clear" w:color="auto" w:fill="auto"/>
            <w:noWrap/>
            <w:vAlign w:val="center"/>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0,23%</w:t>
            </w:r>
          </w:p>
        </w:tc>
      </w:tr>
      <w:tr w:rsidR="00EC0E87" w:rsidRPr="00EC0E87" w:rsidTr="008F282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Grade 3</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98,99</w:t>
            </w:r>
            <w:r w:rsidRPr="00EC0E8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990</w:t>
            </w:r>
          </w:p>
        </w:tc>
        <w:tc>
          <w:tcPr>
            <w:tcW w:w="2835" w:type="dxa"/>
            <w:tcBorders>
              <w:top w:val="nil"/>
              <w:left w:val="nil"/>
              <w:bottom w:val="single" w:sz="4" w:space="0" w:color="auto"/>
              <w:right w:val="single" w:sz="4" w:space="0" w:color="auto"/>
            </w:tcBorders>
            <w:shd w:val="clear" w:color="auto" w:fill="auto"/>
            <w:noWrap/>
            <w:vAlign w:val="center"/>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0,31%</w:t>
            </w:r>
          </w:p>
        </w:tc>
      </w:tr>
      <w:tr w:rsidR="00EC0E87" w:rsidRPr="00EC0E87" w:rsidTr="008F282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Grade 4</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98,68</w:t>
            </w:r>
            <w:r w:rsidRPr="00EC0E8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987</w:t>
            </w:r>
          </w:p>
        </w:tc>
        <w:tc>
          <w:tcPr>
            <w:tcW w:w="2835" w:type="dxa"/>
            <w:tcBorders>
              <w:top w:val="nil"/>
              <w:left w:val="nil"/>
              <w:bottom w:val="single" w:sz="4" w:space="0" w:color="auto"/>
              <w:right w:val="single" w:sz="4" w:space="0" w:color="auto"/>
            </w:tcBorders>
            <w:shd w:val="clear" w:color="auto" w:fill="auto"/>
            <w:noWrap/>
            <w:vAlign w:val="center"/>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0,34%</w:t>
            </w:r>
          </w:p>
        </w:tc>
      </w:tr>
      <w:tr w:rsidR="00EC0E87" w:rsidRPr="00EC0E87" w:rsidTr="008F282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Grade 5</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98,34</w:t>
            </w:r>
            <w:r w:rsidRPr="00EC0E8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983</w:t>
            </w:r>
          </w:p>
        </w:tc>
        <w:tc>
          <w:tcPr>
            <w:tcW w:w="2835" w:type="dxa"/>
            <w:tcBorders>
              <w:top w:val="nil"/>
              <w:left w:val="nil"/>
              <w:bottom w:val="single" w:sz="4" w:space="0" w:color="auto"/>
              <w:right w:val="single" w:sz="4" w:space="0" w:color="auto"/>
            </w:tcBorders>
            <w:shd w:val="clear" w:color="auto" w:fill="auto"/>
            <w:noWrap/>
            <w:vAlign w:val="center"/>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0,58%</w:t>
            </w:r>
          </w:p>
        </w:tc>
      </w:tr>
      <w:tr w:rsidR="00EC0E87" w:rsidRPr="00EC0E87" w:rsidTr="008F282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Grade 6</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97,77</w:t>
            </w:r>
            <w:r w:rsidRPr="00EC0E8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978</w:t>
            </w:r>
          </w:p>
        </w:tc>
        <w:tc>
          <w:tcPr>
            <w:tcW w:w="2835" w:type="dxa"/>
            <w:tcBorders>
              <w:top w:val="nil"/>
              <w:left w:val="nil"/>
              <w:bottom w:val="single" w:sz="4" w:space="0" w:color="auto"/>
              <w:right w:val="single" w:sz="4" w:space="0" w:color="auto"/>
            </w:tcBorders>
            <w:shd w:val="clear" w:color="auto" w:fill="auto"/>
            <w:noWrap/>
            <w:vAlign w:val="center"/>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1,31%</w:t>
            </w:r>
          </w:p>
        </w:tc>
      </w:tr>
      <w:tr w:rsidR="00EC0E87" w:rsidRPr="00EC0E87" w:rsidTr="008F282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Grade 7</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96,49</w:t>
            </w:r>
            <w:r w:rsidRPr="00EC0E8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965</w:t>
            </w:r>
          </w:p>
        </w:tc>
        <w:tc>
          <w:tcPr>
            <w:tcW w:w="2835" w:type="dxa"/>
            <w:tcBorders>
              <w:top w:val="nil"/>
              <w:left w:val="nil"/>
              <w:bottom w:val="single" w:sz="4" w:space="0" w:color="auto"/>
              <w:right w:val="single" w:sz="4" w:space="0" w:color="auto"/>
            </w:tcBorders>
            <w:shd w:val="clear" w:color="auto" w:fill="auto"/>
            <w:noWrap/>
            <w:vAlign w:val="center"/>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2,69%</w:t>
            </w:r>
          </w:p>
        </w:tc>
      </w:tr>
      <w:tr w:rsidR="00EC0E87" w:rsidRPr="00EC0E87" w:rsidTr="008F282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Grade 8</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93,89</w:t>
            </w:r>
            <w:r w:rsidRPr="00EC0E8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939</w:t>
            </w:r>
          </w:p>
        </w:tc>
        <w:tc>
          <w:tcPr>
            <w:tcW w:w="2835" w:type="dxa"/>
            <w:tcBorders>
              <w:top w:val="nil"/>
              <w:left w:val="nil"/>
              <w:bottom w:val="single" w:sz="4" w:space="0" w:color="auto"/>
              <w:right w:val="single" w:sz="4" w:space="0" w:color="auto"/>
            </w:tcBorders>
            <w:shd w:val="clear" w:color="auto" w:fill="auto"/>
            <w:noWrap/>
            <w:vAlign w:val="center"/>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4,37%</w:t>
            </w:r>
          </w:p>
        </w:tc>
      </w:tr>
      <w:tr w:rsidR="00EC0E87" w:rsidRPr="00EC0E87" w:rsidTr="008F282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Grade 9</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89,79</w:t>
            </w:r>
            <w:r w:rsidRPr="00EC0E8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898</w:t>
            </w:r>
          </w:p>
        </w:tc>
        <w:tc>
          <w:tcPr>
            <w:tcW w:w="2835" w:type="dxa"/>
            <w:tcBorders>
              <w:top w:val="nil"/>
              <w:left w:val="nil"/>
              <w:bottom w:val="single" w:sz="4" w:space="0" w:color="auto"/>
              <w:right w:val="single" w:sz="4" w:space="0" w:color="auto"/>
            </w:tcBorders>
            <w:shd w:val="clear" w:color="auto" w:fill="auto"/>
            <w:noWrap/>
            <w:vAlign w:val="center"/>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10,51%</w:t>
            </w:r>
          </w:p>
        </w:tc>
      </w:tr>
      <w:tr w:rsidR="00EC0E87" w:rsidRPr="00EC0E87" w:rsidTr="008F282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Grade 10</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80,35</w:t>
            </w:r>
            <w:r w:rsidRPr="00EC0E8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804</w:t>
            </w:r>
          </w:p>
        </w:tc>
        <w:tc>
          <w:tcPr>
            <w:tcW w:w="2835" w:type="dxa"/>
            <w:tcBorders>
              <w:top w:val="nil"/>
              <w:left w:val="nil"/>
              <w:bottom w:val="single" w:sz="4" w:space="0" w:color="auto"/>
              <w:right w:val="single" w:sz="4" w:space="0" w:color="auto"/>
            </w:tcBorders>
            <w:shd w:val="clear" w:color="auto" w:fill="auto"/>
            <w:noWrap/>
            <w:vAlign w:val="center"/>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14,84%</w:t>
            </w:r>
          </w:p>
        </w:tc>
      </w:tr>
      <w:tr w:rsidR="00EC0E87" w:rsidRPr="00EC0E87" w:rsidTr="008F282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Grade 11</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68,43</w:t>
            </w:r>
            <w:r w:rsidRPr="00EC0E8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684</w:t>
            </w:r>
          </w:p>
        </w:tc>
        <w:tc>
          <w:tcPr>
            <w:tcW w:w="2835" w:type="dxa"/>
            <w:tcBorders>
              <w:top w:val="nil"/>
              <w:left w:val="nil"/>
              <w:bottom w:val="single" w:sz="4" w:space="0" w:color="auto"/>
              <w:right w:val="single" w:sz="4" w:space="0" w:color="auto"/>
            </w:tcBorders>
            <w:shd w:val="clear" w:color="auto" w:fill="auto"/>
            <w:noWrap/>
            <w:vAlign w:val="center"/>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24,08%</w:t>
            </w:r>
          </w:p>
        </w:tc>
      </w:tr>
      <w:tr w:rsidR="00EC0E87" w:rsidRPr="00EC0E87" w:rsidTr="008F282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Grade 12</w:t>
            </w:r>
          </w:p>
        </w:tc>
        <w:tc>
          <w:tcPr>
            <w:tcW w:w="1927"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51,95</w:t>
            </w:r>
            <w:r w:rsidRPr="00EC0E87">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520</w:t>
            </w:r>
          </w:p>
        </w:tc>
        <w:tc>
          <w:tcPr>
            <w:tcW w:w="2835" w:type="dxa"/>
            <w:tcBorders>
              <w:top w:val="nil"/>
              <w:left w:val="nil"/>
              <w:bottom w:val="single" w:sz="4" w:space="0" w:color="auto"/>
              <w:right w:val="single" w:sz="4" w:space="0" w:color="auto"/>
            </w:tcBorders>
            <w:shd w:val="clear" w:color="auto" w:fill="auto"/>
            <w:noWrap/>
            <w:vAlign w:val="center"/>
          </w:tcPr>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sz w:val="20"/>
                <w:szCs w:val="20"/>
              </w:rPr>
              <w:t> </w:t>
            </w:r>
          </w:p>
        </w:tc>
      </w:tr>
    </w:tbl>
    <w:p w:rsidR="00EC0E87" w:rsidRPr="00EC0E87" w:rsidRDefault="00EC0E87" w:rsidP="00EC0E87">
      <w:pPr>
        <w:spacing w:before="100" w:beforeAutospacing="1" w:after="100" w:afterAutospacing="1" w:line="259" w:lineRule="auto"/>
        <w:jc w:val="both"/>
        <w:outlineLvl w:val="0"/>
        <w:rPr>
          <w:rFonts w:ascii="Times New Roman" w:eastAsia="Times New Roman" w:hAnsi="Times New Roman" w:cs="Times New Roman"/>
          <w:sz w:val="20"/>
          <w:szCs w:val="20"/>
        </w:rPr>
      </w:pPr>
      <w:r w:rsidRPr="00EC0E87">
        <w:rPr>
          <w:rFonts w:ascii="Times New Roman" w:eastAsia="Times New Roman" w:hAnsi="Times New Roman" w:cs="Times New Roman"/>
          <w:b/>
          <w:sz w:val="20"/>
          <w:szCs w:val="20"/>
        </w:rPr>
        <w:t>Data Source:</w:t>
      </w:r>
      <w:r w:rsidRPr="00EC0E87">
        <w:rPr>
          <w:rFonts w:ascii="Times New Roman" w:eastAsia="Times New Roman" w:hAnsi="Times New Roman" w:cs="Times New Roman"/>
          <w:sz w:val="20"/>
          <w:szCs w:val="20"/>
        </w:rPr>
        <w:t xml:space="preserve"> General Household Surveys 2016-2018, DBE own calculations</w:t>
      </w:r>
    </w:p>
    <w:p w:rsidR="00547A93" w:rsidRPr="00547A93" w:rsidRDefault="00547A93" w:rsidP="00547A93">
      <w:pPr>
        <w:pStyle w:val="Caption"/>
        <w:spacing w:after="0"/>
        <w:rPr>
          <w:rFonts w:ascii="Times New Roman" w:hAnsi="Times New Roman" w:cs="Times New Roman"/>
          <w:color w:val="000000" w:themeColor="text1"/>
          <w:sz w:val="22"/>
        </w:rPr>
      </w:pPr>
      <w:bookmarkStart w:id="1" w:name="_Toc20378028"/>
      <w:r w:rsidRPr="00547A93">
        <w:rPr>
          <w:rFonts w:ascii="Times New Roman" w:hAnsi="Times New Roman" w:cs="Times New Roman"/>
          <w:color w:val="000000" w:themeColor="text1"/>
          <w:sz w:val="22"/>
        </w:rPr>
        <w:t xml:space="preserve">Figure </w:t>
      </w:r>
      <w:r w:rsidRPr="00547A93">
        <w:rPr>
          <w:rFonts w:ascii="Times New Roman" w:hAnsi="Times New Roman" w:cs="Times New Roman"/>
          <w:color w:val="000000" w:themeColor="text1"/>
          <w:sz w:val="22"/>
        </w:rPr>
        <w:t>3</w:t>
      </w:r>
      <w:r w:rsidRPr="00547A93">
        <w:rPr>
          <w:rFonts w:ascii="Times New Roman" w:hAnsi="Times New Roman" w:cs="Times New Roman"/>
          <w:color w:val="000000" w:themeColor="text1"/>
          <w:sz w:val="22"/>
        </w:rPr>
        <w:fldChar w:fldCharType="begin"/>
      </w:r>
      <w:r w:rsidRPr="00547A93">
        <w:rPr>
          <w:rFonts w:ascii="Times New Roman" w:hAnsi="Times New Roman" w:cs="Times New Roman"/>
          <w:color w:val="000000" w:themeColor="text1"/>
          <w:sz w:val="22"/>
        </w:rPr>
        <w:instrText xml:space="preserve"> SEQ Figure \* ARABIC </w:instrText>
      </w:r>
      <w:r w:rsidRPr="00547A93">
        <w:rPr>
          <w:rFonts w:ascii="Times New Roman" w:hAnsi="Times New Roman" w:cs="Times New Roman"/>
          <w:color w:val="000000" w:themeColor="text1"/>
          <w:sz w:val="22"/>
        </w:rPr>
        <w:fldChar w:fldCharType="separate"/>
      </w:r>
      <w:r w:rsidRPr="00547A93">
        <w:rPr>
          <w:rFonts w:ascii="Times New Roman" w:hAnsi="Times New Roman" w:cs="Times New Roman"/>
          <w:color w:val="000000" w:themeColor="text1"/>
          <w:sz w:val="22"/>
        </w:rPr>
        <w:fldChar w:fldCharType="end"/>
      </w:r>
      <w:r w:rsidRPr="00547A93">
        <w:rPr>
          <w:rFonts w:ascii="Times New Roman" w:hAnsi="Times New Roman" w:cs="Times New Roman"/>
          <w:color w:val="000000" w:themeColor="text1"/>
          <w:sz w:val="22"/>
        </w:rPr>
        <w:t>: Percentage of repeaters by grade and gender, 2018</w:t>
      </w:r>
      <w:bookmarkEnd w:id="1"/>
    </w:p>
    <w:p w:rsidR="006D7B63" w:rsidRPr="006D7B63" w:rsidRDefault="00547A93" w:rsidP="003E467B">
      <w:pPr>
        <w:spacing w:after="0"/>
        <w:rPr>
          <w:rFonts w:ascii="Times New Roman" w:hAnsi="Times New Roman" w:cs="Times New Roman"/>
        </w:rPr>
      </w:pPr>
      <w:r>
        <w:rPr>
          <w:noProof/>
          <w:lang w:eastAsia="en-ZA"/>
        </w:rPr>
        <w:drawing>
          <wp:inline distT="0" distB="0" distL="0" distR="0" wp14:anchorId="46BF1731" wp14:editId="2BE98898">
            <wp:extent cx="5731510" cy="1971675"/>
            <wp:effectExtent l="0" t="0" r="2540" b="95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Pr="00437978">
        <w:rPr>
          <w:rFonts w:ascii="Calibri" w:hAnsi="Calibri"/>
          <w:b/>
          <w:i/>
          <w:sz w:val="18"/>
        </w:rPr>
        <w:t xml:space="preserve">Source: </w:t>
      </w:r>
      <w:r w:rsidRPr="00437978">
        <w:rPr>
          <w:rFonts w:ascii="Calibri" w:hAnsi="Calibri"/>
          <w:i/>
          <w:sz w:val="18"/>
        </w:rPr>
        <w:t>Statistics South Africa, General Household Sur</w:t>
      </w:r>
      <w:r w:rsidR="003E467B">
        <w:rPr>
          <w:rFonts w:ascii="Calibri" w:hAnsi="Calibri"/>
          <w:i/>
          <w:sz w:val="18"/>
        </w:rPr>
        <w:t>vey (GHS), DBE own calculations</w:t>
      </w:r>
      <w:bookmarkStart w:id="2" w:name="_GoBack"/>
      <w:bookmarkEnd w:id="2"/>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64C38"/>
    <w:rsid w:val="00075575"/>
    <w:rsid w:val="000A2AAC"/>
    <w:rsid w:val="000C6DB7"/>
    <w:rsid w:val="000D4D43"/>
    <w:rsid w:val="001034EB"/>
    <w:rsid w:val="001363D0"/>
    <w:rsid w:val="001415B1"/>
    <w:rsid w:val="0014376F"/>
    <w:rsid w:val="00170990"/>
    <w:rsid w:val="00171447"/>
    <w:rsid w:val="00183BCF"/>
    <w:rsid w:val="00192884"/>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52663"/>
    <w:rsid w:val="0037043F"/>
    <w:rsid w:val="00397A1E"/>
    <w:rsid w:val="003B39A7"/>
    <w:rsid w:val="003E467B"/>
    <w:rsid w:val="003F26D9"/>
    <w:rsid w:val="00400D7D"/>
    <w:rsid w:val="00401744"/>
    <w:rsid w:val="00405587"/>
    <w:rsid w:val="00430337"/>
    <w:rsid w:val="00445162"/>
    <w:rsid w:val="00445915"/>
    <w:rsid w:val="004460E6"/>
    <w:rsid w:val="004532C0"/>
    <w:rsid w:val="00463389"/>
    <w:rsid w:val="004A2F02"/>
    <w:rsid w:val="004B34AC"/>
    <w:rsid w:val="004E39FB"/>
    <w:rsid w:val="00526217"/>
    <w:rsid w:val="00547A93"/>
    <w:rsid w:val="005676F7"/>
    <w:rsid w:val="00570560"/>
    <w:rsid w:val="005827AF"/>
    <w:rsid w:val="00584726"/>
    <w:rsid w:val="0059663A"/>
    <w:rsid w:val="005B389D"/>
    <w:rsid w:val="005C4AB6"/>
    <w:rsid w:val="005E7AD3"/>
    <w:rsid w:val="00607436"/>
    <w:rsid w:val="00613631"/>
    <w:rsid w:val="00615A3B"/>
    <w:rsid w:val="00666324"/>
    <w:rsid w:val="00667A76"/>
    <w:rsid w:val="00692B11"/>
    <w:rsid w:val="006C1F10"/>
    <w:rsid w:val="006D7B63"/>
    <w:rsid w:val="006F297B"/>
    <w:rsid w:val="00710D44"/>
    <w:rsid w:val="00720CC4"/>
    <w:rsid w:val="00735204"/>
    <w:rsid w:val="00755687"/>
    <w:rsid w:val="007A4190"/>
    <w:rsid w:val="007D5B29"/>
    <w:rsid w:val="007E7A47"/>
    <w:rsid w:val="007F25CB"/>
    <w:rsid w:val="008015CE"/>
    <w:rsid w:val="008224B8"/>
    <w:rsid w:val="00830D56"/>
    <w:rsid w:val="00830FC7"/>
    <w:rsid w:val="00857A1D"/>
    <w:rsid w:val="008E742B"/>
    <w:rsid w:val="009132A2"/>
    <w:rsid w:val="009428E0"/>
    <w:rsid w:val="009434F5"/>
    <w:rsid w:val="00943B4A"/>
    <w:rsid w:val="009524A0"/>
    <w:rsid w:val="0095552D"/>
    <w:rsid w:val="009564A8"/>
    <w:rsid w:val="00975403"/>
    <w:rsid w:val="009948B8"/>
    <w:rsid w:val="00996F09"/>
    <w:rsid w:val="009B6115"/>
    <w:rsid w:val="009C2773"/>
    <w:rsid w:val="009D302C"/>
    <w:rsid w:val="009E0F37"/>
    <w:rsid w:val="009F03E8"/>
    <w:rsid w:val="00A12F72"/>
    <w:rsid w:val="00A20079"/>
    <w:rsid w:val="00A216E8"/>
    <w:rsid w:val="00A451EB"/>
    <w:rsid w:val="00A56D8C"/>
    <w:rsid w:val="00A603D7"/>
    <w:rsid w:val="00A62005"/>
    <w:rsid w:val="00A666AB"/>
    <w:rsid w:val="00A776F8"/>
    <w:rsid w:val="00A96282"/>
    <w:rsid w:val="00AD7651"/>
    <w:rsid w:val="00AE1828"/>
    <w:rsid w:val="00B6783D"/>
    <w:rsid w:val="00B81D4D"/>
    <w:rsid w:val="00B8303B"/>
    <w:rsid w:val="00BA70AC"/>
    <w:rsid w:val="00BE0DB0"/>
    <w:rsid w:val="00C00DC4"/>
    <w:rsid w:val="00C06F25"/>
    <w:rsid w:val="00C4444B"/>
    <w:rsid w:val="00C4497B"/>
    <w:rsid w:val="00C90C8F"/>
    <w:rsid w:val="00D13D42"/>
    <w:rsid w:val="00D34C31"/>
    <w:rsid w:val="00D6328E"/>
    <w:rsid w:val="00D713FC"/>
    <w:rsid w:val="00D9276C"/>
    <w:rsid w:val="00D94B1F"/>
    <w:rsid w:val="00D97E99"/>
    <w:rsid w:val="00E34908"/>
    <w:rsid w:val="00E44789"/>
    <w:rsid w:val="00E67F6F"/>
    <w:rsid w:val="00EA485B"/>
    <w:rsid w:val="00EC0E87"/>
    <w:rsid w:val="00EC7F74"/>
    <w:rsid w:val="00EE1960"/>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95552D"/>
    <w:pPr>
      <w:spacing w:line="240" w:lineRule="auto"/>
    </w:pPr>
    <w:rPr>
      <w:b/>
      <w:bCs/>
      <w:color w:val="4F81BD" w:themeColor="accent1"/>
      <w:sz w:val="18"/>
      <w:szCs w:val="18"/>
    </w:rPr>
  </w:style>
  <w:style w:type="paragraph" w:customStyle="1" w:styleId="p1">
    <w:name w:val="p1"/>
    <w:basedOn w:val="Normal"/>
    <w:rsid w:val="0075568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bevstore01\users\Research%20Coordination%20Monitoring%20and%20Evaluation\PROJECTS\GENERAL%20HOUSEHOLD%20SURVEY\GHS%202018\Report%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59062617172854"/>
          <c:y val="4.7302280193380661E-2"/>
          <c:w val="0.84445699287589049"/>
          <c:h val="0.53650749014846211"/>
        </c:manualLayout>
      </c:layout>
      <c:lineChart>
        <c:grouping val="standard"/>
        <c:varyColors val="0"/>
        <c:ser>
          <c:idx val="0"/>
          <c:order val="0"/>
          <c:tx>
            <c:strRef>
              <c:f>'Repeaters '!$E$27</c:f>
              <c:strCache>
                <c:ptCount val="1"/>
                <c:pt idx="0">
                  <c:v>Male</c:v>
                </c:pt>
              </c:strCache>
            </c:strRef>
          </c:tx>
          <c:spPr>
            <a:ln w="28575" cap="rnd">
              <a:solidFill>
                <a:srgbClr val="36688D"/>
              </a:solidFill>
              <a:round/>
            </a:ln>
            <a:effectLst/>
          </c:spPr>
          <c:marker>
            <c:symbol val="circle"/>
            <c:size val="5"/>
            <c:spPr>
              <a:solidFill>
                <a:srgbClr val="36688D"/>
              </a:solidFill>
              <a:ln w="9525">
                <a:solidFill>
                  <a:srgbClr val="36688D"/>
                </a:solidFill>
              </a:ln>
              <a:effectLst/>
              <a:scene3d>
                <a:camera prst="orthographicFront"/>
                <a:lightRig rig="harsh" dir="t"/>
              </a:scene3d>
            </c:spPr>
          </c:marker>
          <c:cat>
            <c:multiLvlStrRef>
              <c:f>'Repeaters '!$A$28:$B$39</c:f>
              <c:multiLvlStrCache>
                <c:ptCount val="12"/>
                <c:lvl>
                  <c:pt idx="0">
                    <c:v>Grade 1</c:v>
                  </c:pt>
                  <c:pt idx="1">
                    <c:v>Grade 2</c:v>
                  </c:pt>
                  <c:pt idx="2">
                    <c:v>Grade 3</c:v>
                  </c:pt>
                  <c:pt idx="3">
                    <c:v>Grade 4</c:v>
                  </c:pt>
                  <c:pt idx="4">
                    <c:v>Grade 5</c:v>
                  </c:pt>
                  <c:pt idx="5">
                    <c:v>Grade 6</c:v>
                  </c:pt>
                  <c:pt idx="6">
                    <c:v>Grade 7</c:v>
                  </c:pt>
                  <c:pt idx="7">
                    <c:v>Grade 8</c:v>
                  </c:pt>
                  <c:pt idx="8">
                    <c:v>Grade 9</c:v>
                  </c:pt>
                  <c:pt idx="9">
                    <c:v>Grade 10</c:v>
                  </c:pt>
                  <c:pt idx="10">
                    <c:v>Grade 11</c:v>
                  </c:pt>
                  <c:pt idx="11">
                    <c:v>Grade 12</c:v>
                  </c:pt>
                </c:lvl>
                <c:lvl>
                  <c:pt idx="0">
                    <c:v>Prmary level</c:v>
                  </c:pt>
                  <c:pt idx="7">
                    <c:v>Secondary level</c:v>
                  </c:pt>
                </c:lvl>
              </c:multiLvlStrCache>
            </c:multiLvlStrRef>
          </c:cat>
          <c:val>
            <c:numRef>
              <c:f>'Repeaters '!$E$28:$E$39</c:f>
              <c:numCache>
                <c:formatCode>0.0</c:formatCode>
                <c:ptCount val="12"/>
                <c:pt idx="0">
                  <c:v>6.3749003000000002</c:v>
                </c:pt>
                <c:pt idx="1">
                  <c:v>7.3762537000000004</c:v>
                </c:pt>
                <c:pt idx="2">
                  <c:v>7.2875731999999998</c:v>
                </c:pt>
                <c:pt idx="3">
                  <c:v>9.4457647999999992</c:v>
                </c:pt>
                <c:pt idx="4">
                  <c:v>6.1705623999999997</c:v>
                </c:pt>
                <c:pt idx="5">
                  <c:v>6.9779572999999999</c:v>
                </c:pt>
                <c:pt idx="6">
                  <c:v>7.6235676999999997</c:v>
                </c:pt>
                <c:pt idx="7">
                  <c:v>14.272197</c:v>
                </c:pt>
                <c:pt idx="8">
                  <c:v>13.465382</c:v>
                </c:pt>
                <c:pt idx="9">
                  <c:v>22.036134000000001</c:v>
                </c:pt>
                <c:pt idx="10">
                  <c:v>16.725619999999999</c:v>
                </c:pt>
                <c:pt idx="11">
                  <c:v>11.544938</c:v>
                </c:pt>
              </c:numCache>
            </c:numRef>
          </c:val>
          <c:smooth val="0"/>
        </c:ser>
        <c:ser>
          <c:idx val="1"/>
          <c:order val="1"/>
          <c:tx>
            <c:v>Female</c:v>
          </c:tx>
          <c:spPr>
            <a:ln w="28575" cap="rnd">
              <a:solidFill>
                <a:srgbClr val="F18905"/>
              </a:solidFill>
              <a:round/>
            </a:ln>
            <a:effectLst/>
          </c:spPr>
          <c:marker>
            <c:symbol val="circle"/>
            <c:size val="5"/>
            <c:spPr>
              <a:solidFill>
                <a:srgbClr val="F18905"/>
              </a:solidFill>
              <a:ln w="9525">
                <a:solidFill>
                  <a:srgbClr val="F18905"/>
                </a:solidFill>
              </a:ln>
              <a:effectLst/>
              <a:scene3d>
                <a:camera prst="orthographicFront"/>
                <a:lightRig rig="harsh" dir="t"/>
              </a:scene3d>
            </c:spPr>
          </c:marker>
          <c:val>
            <c:numRef>
              <c:f>'Repeaters '!$F$28:$F$39</c:f>
              <c:numCache>
                <c:formatCode>0.0</c:formatCode>
                <c:ptCount val="12"/>
                <c:pt idx="0">
                  <c:v>4.6890489000000004</c:v>
                </c:pt>
                <c:pt idx="1">
                  <c:v>4.8213457999999996</c:v>
                </c:pt>
                <c:pt idx="2">
                  <c:v>5.3550136000000004</c:v>
                </c:pt>
                <c:pt idx="3">
                  <c:v>5.8566262</c:v>
                </c:pt>
                <c:pt idx="4">
                  <c:v>3.5618318000000002</c:v>
                </c:pt>
                <c:pt idx="5">
                  <c:v>4.0219519999999997</c:v>
                </c:pt>
                <c:pt idx="6">
                  <c:v>5.8356263000000004</c:v>
                </c:pt>
                <c:pt idx="7">
                  <c:v>8.5797738999999993</c:v>
                </c:pt>
                <c:pt idx="8">
                  <c:v>8.3379483000000008</c:v>
                </c:pt>
                <c:pt idx="9">
                  <c:v>16.799092999999999</c:v>
                </c:pt>
                <c:pt idx="10">
                  <c:v>16.160537000000001</c:v>
                </c:pt>
                <c:pt idx="11">
                  <c:v>10.197469999999999</c:v>
                </c:pt>
              </c:numCache>
            </c:numRef>
          </c:val>
          <c:smooth val="0"/>
        </c:ser>
        <c:dLbls>
          <c:showLegendKey val="0"/>
          <c:showVal val="0"/>
          <c:showCatName val="0"/>
          <c:showSerName val="0"/>
          <c:showPercent val="0"/>
          <c:showBubbleSize val="0"/>
        </c:dLbls>
        <c:marker val="1"/>
        <c:smooth val="0"/>
        <c:axId val="1545941952"/>
        <c:axId val="1545941408"/>
      </c:lineChart>
      <c:catAx>
        <c:axId val="154594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5941408"/>
        <c:crosses val="autoZero"/>
        <c:auto val="1"/>
        <c:lblAlgn val="ctr"/>
        <c:lblOffset val="100"/>
        <c:noMultiLvlLbl val="0"/>
      </c:catAx>
      <c:valAx>
        <c:axId val="1545941408"/>
        <c:scaling>
          <c:orientation val="minMax"/>
          <c:max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Percentage</a:t>
                </a:r>
              </a:p>
            </c:rich>
          </c:tx>
          <c:layout>
            <c:manualLayout>
              <c:xMode val="edge"/>
              <c:yMode val="edge"/>
              <c:x val="3.323731442499446E-2"/>
              <c:y val="0.2107867675960794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59419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Taylor, Stephen</cp:lastModifiedBy>
  <cp:revision>2</cp:revision>
  <dcterms:created xsi:type="dcterms:W3CDTF">2019-10-22T14:45:00Z</dcterms:created>
  <dcterms:modified xsi:type="dcterms:W3CDTF">2019-10-22T14:45:00Z</dcterms:modified>
</cp:coreProperties>
</file>