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1528634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7A7DF8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E01BD2">
        <w:rPr>
          <w:rFonts w:ascii="Arial" w:hAnsi="Arial" w:cs="Arial"/>
          <w:b/>
          <w:bCs/>
          <w:sz w:val="22"/>
          <w:lang w:val="en-GB"/>
        </w:rPr>
        <w:t>1246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bookmarkStart w:id="6" w:name="_GoBack"/>
      <w:r w:rsidR="007A7DF8">
        <w:rPr>
          <w:rFonts w:ascii="Arial" w:hAnsi="Arial" w:cs="Arial"/>
          <w:b/>
          <w:sz w:val="22"/>
          <w:szCs w:val="22"/>
          <w:lang w:val="en-ZA"/>
        </w:rPr>
        <w:t>N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W</w:t>
      </w:r>
      <w:r w:rsidR="00E01BD2">
        <w:rPr>
          <w:rFonts w:ascii="Arial" w:hAnsi="Arial" w:cs="Arial"/>
          <w:b/>
          <w:sz w:val="22"/>
          <w:szCs w:val="22"/>
          <w:lang w:val="en-ZA"/>
        </w:rPr>
        <w:t>1437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E</w:t>
      </w:r>
      <w:bookmarkEnd w:id="6"/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8C3575" w:rsidRDefault="008E3D62" w:rsidP="008C35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01BD2" w:rsidRPr="00E01BD2" w:rsidRDefault="00E01BD2" w:rsidP="00E01BD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E01BD2">
        <w:rPr>
          <w:rFonts w:ascii="Arial" w:eastAsia="Calibri" w:hAnsi="Arial" w:cs="Arial"/>
          <w:b/>
          <w:sz w:val="22"/>
          <w:szCs w:val="22"/>
        </w:rPr>
        <w:t>1246.</w:t>
      </w:r>
      <w:r w:rsidRPr="00E01BD2">
        <w:rPr>
          <w:rFonts w:ascii="Arial" w:eastAsia="Calibri" w:hAnsi="Arial" w:cs="Arial"/>
          <w:b/>
          <w:sz w:val="22"/>
          <w:szCs w:val="22"/>
        </w:rPr>
        <w:tab/>
      </w:r>
      <w:proofErr w:type="spellStart"/>
      <w:r w:rsidRPr="00E01BD2">
        <w:rPr>
          <w:rFonts w:ascii="Arial" w:eastAsia="Calibri" w:hAnsi="Arial" w:cs="Arial"/>
          <w:b/>
          <w:sz w:val="22"/>
          <w:szCs w:val="22"/>
        </w:rPr>
        <w:t>Mr</w:t>
      </w:r>
      <w:proofErr w:type="spellEnd"/>
      <w:r w:rsidRPr="00E01BD2">
        <w:rPr>
          <w:rFonts w:ascii="Arial" w:eastAsia="Calibri" w:hAnsi="Arial" w:cs="Arial"/>
          <w:b/>
          <w:sz w:val="22"/>
          <w:szCs w:val="22"/>
        </w:rPr>
        <w:t xml:space="preserve"> E M Buthelezi (IFP) to ask the Minister of Finance</w:t>
      </w:r>
      <w:r w:rsidR="004E5898" w:rsidRPr="00E01BD2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E01BD2">
        <w:rPr>
          <w:rFonts w:ascii="Arial" w:hAnsi="Arial" w:cs="Arial"/>
          <w:sz w:val="22"/>
          <w:szCs w:val="22"/>
        </w:rPr>
        <w:instrText xml:space="preserve"> XE "</w:instrText>
      </w:r>
      <w:r w:rsidRPr="00E01BD2">
        <w:rPr>
          <w:rFonts w:ascii="Arial" w:eastAsia="Calibri" w:hAnsi="Arial" w:cs="Arial"/>
          <w:b/>
          <w:sz w:val="22"/>
          <w:szCs w:val="22"/>
        </w:rPr>
        <w:instrText>Finance</w:instrText>
      </w:r>
      <w:r w:rsidRPr="00E01BD2">
        <w:rPr>
          <w:rFonts w:ascii="Arial" w:hAnsi="Arial" w:cs="Arial"/>
          <w:sz w:val="22"/>
          <w:szCs w:val="22"/>
        </w:rPr>
        <w:instrText xml:space="preserve">" </w:instrText>
      </w:r>
      <w:r w:rsidR="004E5898" w:rsidRPr="00E01BD2">
        <w:rPr>
          <w:rFonts w:ascii="Arial" w:eastAsia="Calibri" w:hAnsi="Arial" w:cs="Arial"/>
          <w:b/>
          <w:sz w:val="22"/>
          <w:szCs w:val="22"/>
        </w:rPr>
        <w:fldChar w:fldCharType="end"/>
      </w:r>
      <w:r w:rsidRPr="00E01BD2">
        <w:rPr>
          <w:rFonts w:ascii="Arial" w:eastAsia="Calibri" w:hAnsi="Arial" w:cs="Arial"/>
          <w:b/>
          <w:sz w:val="22"/>
          <w:szCs w:val="22"/>
        </w:rPr>
        <w:t>:</w:t>
      </w:r>
    </w:p>
    <w:p w:rsidR="00E01BD2" w:rsidRPr="00E01BD2" w:rsidRDefault="00E01BD2" w:rsidP="00E01BD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AU"/>
        </w:rPr>
      </w:pPr>
      <w:r w:rsidRPr="00E01BD2">
        <w:rPr>
          <w:rFonts w:ascii="Arial" w:eastAsia="Calibri" w:hAnsi="Arial" w:cs="Arial"/>
          <w:sz w:val="22"/>
          <w:szCs w:val="22"/>
          <w:lang w:val="en-AU"/>
        </w:rPr>
        <w:t>(1)</w:t>
      </w:r>
      <w:r w:rsidRPr="00E01BD2">
        <w:rPr>
          <w:rFonts w:ascii="Arial" w:eastAsia="Calibri" w:hAnsi="Arial" w:cs="Arial"/>
          <w:sz w:val="22"/>
          <w:szCs w:val="22"/>
          <w:lang w:val="en-AU"/>
        </w:rPr>
        <w:tab/>
        <w:t xml:space="preserve">Whether he intends to revise the corporate taxation regime to boost post COVID-19 recovery; if not, </w:t>
      </w:r>
      <w:r w:rsidRPr="00E01BD2">
        <w:rPr>
          <w:rFonts w:ascii="Arial" w:hAnsi="Arial" w:cs="Arial"/>
          <w:sz w:val="22"/>
          <w:szCs w:val="22"/>
        </w:rPr>
        <w:t>what</w:t>
      </w:r>
      <w:r w:rsidRPr="00E01BD2">
        <w:rPr>
          <w:rFonts w:ascii="Arial" w:eastAsia="Calibri" w:hAnsi="Arial" w:cs="Arial"/>
          <w:sz w:val="22"/>
          <w:szCs w:val="22"/>
          <w:lang w:val="en-AU"/>
        </w:rPr>
        <w:t xml:space="preserve"> is the position in this regard; if so, </w:t>
      </w:r>
    </w:p>
    <w:p w:rsidR="00E01BD2" w:rsidRPr="00E01BD2" w:rsidRDefault="00E01BD2" w:rsidP="00E01BD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E01BD2">
        <w:rPr>
          <w:rFonts w:ascii="Arial" w:eastAsia="Calibri" w:hAnsi="Arial" w:cs="Arial"/>
          <w:sz w:val="22"/>
          <w:szCs w:val="22"/>
          <w:lang w:val="en-AU"/>
        </w:rPr>
        <w:t>(2)</w:t>
      </w:r>
      <w:r w:rsidRPr="00E01BD2">
        <w:rPr>
          <w:rFonts w:ascii="Arial" w:eastAsia="Calibri" w:hAnsi="Arial" w:cs="Arial"/>
          <w:sz w:val="22"/>
          <w:szCs w:val="22"/>
          <w:lang w:val="en-AU"/>
        </w:rPr>
        <w:tab/>
        <w:t>whether he has plans to incentivise investment in local production through tax incentives; if not, what is the position in this regard; if so, (a) what are the relevant details of such plans and (b) how does he intend to mitigate the negative impact of high corporate tax</w:t>
      </w:r>
      <w:r w:rsidRPr="00E01BD2">
        <w:rPr>
          <w:rFonts w:ascii="Arial" w:eastAsia="Calibri" w:hAnsi="Arial" w:cs="Arial"/>
          <w:sz w:val="22"/>
          <w:szCs w:val="22"/>
        </w:rPr>
        <w:t>?</w:t>
      </w:r>
      <w:r w:rsidRPr="00E01BD2">
        <w:rPr>
          <w:rFonts w:ascii="Arial" w:eastAsia="Calibri" w:hAnsi="Arial" w:cs="Arial"/>
          <w:sz w:val="22"/>
          <w:szCs w:val="22"/>
        </w:rPr>
        <w:tab/>
      </w:r>
      <w:r w:rsidRPr="00E01BD2">
        <w:rPr>
          <w:rFonts w:ascii="Arial" w:eastAsia="Calibri" w:hAnsi="Arial" w:cs="Arial"/>
          <w:sz w:val="22"/>
          <w:szCs w:val="22"/>
        </w:rPr>
        <w:tab/>
      </w:r>
      <w:r w:rsidRPr="00E01BD2">
        <w:rPr>
          <w:rFonts w:ascii="Arial" w:eastAsia="Calibri" w:hAnsi="Arial" w:cs="Arial"/>
          <w:sz w:val="22"/>
          <w:szCs w:val="22"/>
        </w:rPr>
        <w:tab/>
      </w:r>
      <w:r w:rsidRPr="00E01BD2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E01BD2">
        <w:rPr>
          <w:rFonts w:ascii="Arial" w:eastAsia="Calibri" w:hAnsi="Arial" w:cs="Arial"/>
          <w:sz w:val="22"/>
          <w:szCs w:val="22"/>
        </w:rPr>
        <w:tab/>
      </w:r>
      <w:r w:rsidRPr="00E01BD2">
        <w:rPr>
          <w:rFonts w:ascii="Arial" w:eastAsia="Calibri" w:hAnsi="Arial" w:cs="Arial"/>
          <w:sz w:val="22"/>
          <w:szCs w:val="22"/>
        </w:rPr>
        <w:tab/>
        <w:t>NW1437E</w:t>
      </w:r>
    </w:p>
    <w:p w:rsidR="005F4B91" w:rsidRDefault="008E3D62" w:rsidP="005F4B9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1BD2">
        <w:rPr>
          <w:rFonts w:ascii="Arial" w:hAnsi="Arial" w:cs="Arial"/>
          <w:b/>
          <w:sz w:val="22"/>
          <w:szCs w:val="22"/>
        </w:rPr>
        <w:t>REPLY</w:t>
      </w:r>
      <w:r w:rsidRPr="00E01BD2">
        <w:rPr>
          <w:rFonts w:ascii="Arial" w:hAnsi="Arial" w:cs="Arial"/>
          <w:sz w:val="22"/>
          <w:szCs w:val="22"/>
        </w:rPr>
        <w:t>:</w:t>
      </w:r>
    </w:p>
    <w:p w:rsidR="005F4B91" w:rsidRPr="00A5587F" w:rsidRDefault="004E7488" w:rsidP="00A5587F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As Minister of Finance, I generally only make tax announcements on Budget Day, but given the exceptional circumstances after the first </w:t>
      </w:r>
      <w:r w:rsidR="004B5723">
        <w:rPr>
          <w:rFonts w:ascii="Arial" w:eastAsia="Calibri" w:hAnsi="Arial" w:cs="Arial"/>
          <w:sz w:val="22"/>
          <w:szCs w:val="22"/>
          <w:lang w:val="en-AU"/>
        </w:rPr>
        <w:t xml:space="preserve">Covid-19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lockdown, I </w:t>
      </w:r>
      <w:r w:rsidR="00756100">
        <w:rPr>
          <w:rFonts w:ascii="Arial" w:eastAsia="Calibri" w:hAnsi="Arial" w:cs="Arial"/>
          <w:sz w:val="22"/>
          <w:szCs w:val="22"/>
          <w:lang w:val="en-AU"/>
        </w:rPr>
        <w:t xml:space="preserve">made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some tax announcements on </w:t>
      </w:r>
      <w:r w:rsidR="004B5723">
        <w:rPr>
          <w:rFonts w:ascii="Arial" w:eastAsia="Calibri" w:hAnsi="Arial" w:cs="Arial"/>
          <w:sz w:val="22"/>
          <w:szCs w:val="22"/>
          <w:lang w:val="en-AU"/>
        </w:rPr>
        <w:t xml:space="preserve">29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March and </w:t>
      </w:r>
      <w:r w:rsidR="004B5723">
        <w:rPr>
          <w:rFonts w:ascii="Arial" w:eastAsia="Calibri" w:hAnsi="Arial" w:cs="Arial"/>
          <w:sz w:val="22"/>
          <w:szCs w:val="22"/>
          <w:lang w:val="en-AU"/>
        </w:rPr>
        <w:t xml:space="preserve">23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April </w:t>
      </w:r>
      <w:r w:rsidR="004B5723">
        <w:rPr>
          <w:rFonts w:ascii="Arial" w:eastAsia="Calibri" w:hAnsi="Arial" w:cs="Arial"/>
          <w:sz w:val="22"/>
          <w:szCs w:val="22"/>
          <w:lang w:val="en-AU"/>
        </w:rPr>
        <w:t xml:space="preserve">2020 </w:t>
      </w:r>
      <w:r>
        <w:rPr>
          <w:rFonts w:ascii="Arial" w:eastAsia="Calibri" w:hAnsi="Arial" w:cs="Arial"/>
          <w:sz w:val="22"/>
          <w:szCs w:val="22"/>
          <w:lang w:val="en-AU"/>
        </w:rPr>
        <w:t>to provide tax relief to businesses and individuals during the 2021/21 financial year.</w:t>
      </w:r>
      <w:r w:rsidR="000F6AB3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A5587F">
        <w:rPr>
          <w:rFonts w:ascii="Arial" w:eastAsia="Calibri" w:hAnsi="Arial" w:cs="Arial"/>
          <w:sz w:val="22"/>
          <w:szCs w:val="22"/>
          <w:lang w:val="en-AU"/>
        </w:rPr>
        <w:t>Two o</w:t>
      </w:r>
      <w:r w:rsidR="000F6AB3">
        <w:rPr>
          <w:rFonts w:ascii="Arial" w:eastAsia="Calibri" w:hAnsi="Arial" w:cs="Arial"/>
          <w:sz w:val="22"/>
          <w:szCs w:val="22"/>
          <w:lang w:val="en-AU"/>
        </w:rPr>
        <w:t xml:space="preserve">f these measures applied to corporations, namely delaying the base-broadening measures I had announced in the previous Budget and deferrals for provisional </w:t>
      </w:r>
      <w:r w:rsidR="00A5587F">
        <w:rPr>
          <w:rFonts w:ascii="Arial" w:eastAsia="Calibri" w:hAnsi="Arial" w:cs="Arial"/>
          <w:sz w:val="22"/>
          <w:szCs w:val="22"/>
          <w:lang w:val="en-AU"/>
        </w:rPr>
        <w:t xml:space="preserve">tax </w:t>
      </w:r>
      <w:r w:rsidR="000F6AB3">
        <w:rPr>
          <w:rFonts w:ascii="Arial" w:eastAsia="Calibri" w:hAnsi="Arial" w:cs="Arial"/>
          <w:sz w:val="22"/>
          <w:szCs w:val="22"/>
          <w:lang w:val="en-AU"/>
        </w:rPr>
        <w:t xml:space="preserve">payments. </w:t>
      </w:r>
      <w:r w:rsidR="00683F86">
        <w:rPr>
          <w:rFonts w:ascii="Arial" w:eastAsia="Calibri" w:hAnsi="Arial" w:cs="Arial"/>
          <w:sz w:val="22"/>
          <w:szCs w:val="22"/>
          <w:lang w:val="en-AU"/>
        </w:rPr>
        <w:t xml:space="preserve">These measures have now run their course. </w:t>
      </w:r>
      <w:r w:rsidR="000F6AB3">
        <w:rPr>
          <w:rFonts w:ascii="Arial" w:eastAsia="Calibri" w:hAnsi="Arial" w:cs="Arial"/>
          <w:sz w:val="22"/>
          <w:szCs w:val="22"/>
          <w:lang w:val="en-AU"/>
        </w:rPr>
        <w:t>The corporate tax regime already contains automatic stabilisers as a tax on profits</w:t>
      </w:r>
      <w:r w:rsidR="00683F86">
        <w:rPr>
          <w:rFonts w:ascii="Arial" w:eastAsia="Calibri" w:hAnsi="Arial" w:cs="Arial"/>
          <w:sz w:val="22"/>
          <w:szCs w:val="22"/>
          <w:lang w:val="en-AU"/>
        </w:rPr>
        <w:t>, and as companies’ profitability recover</w:t>
      </w:r>
      <w:r w:rsidR="00A5587F">
        <w:rPr>
          <w:rFonts w:ascii="Arial" w:eastAsia="Calibri" w:hAnsi="Arial" w:cs="Arial"/>
          <w:sz w:val="22"/>
          <w:szCs w:val="22"/>
          <w:lang w:val="en-AU"/>
        </w:rPr>
        <w:t>s</w:t>
      </w:r>
      <w:r w:rsidR="00683F86">
        <w:rPr>
          <w:rFonts w:ascii="Arial" w:eastAsia="Calibri" w:hAnsi="Arial" w:cs="Arial"/>
          <w:sz w:val="22"/>
          <w:szCs w:val="22"/>
          <w:lang w:val="en-AU"/>
        </w:rPr>
        <w:t xml:space="preserve"> so will revenue from corporate income tax. Companies that face financial distress can utilise the existing tax administrative measures to apply for hardship relief.</w:t>
      </w:r>
      <w:r w:rsidR="00A5587F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t xml:space="preserve">To aid the </w:t>
      </w:r>
      <w:r w:rsidR="00A5587F" w:rsidRPr="00A5587F">
        <w:rPr>
          <w:rFonts w:ascii="Arial" w:eastAsia="Calibri" w:hAnsi="Arial" w:cs="Arial"/>
          <w:sz w:val="22"/>
          <w:szCs w:val="22"/>
          <w:lang w:val="en-AU"/>
        </w:rPr>
        <w:t>medium-term</w:t>
      </w:r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t xml:space="preserve"> recovery,</w:t>
      </w:r>
      <w:r w:rsidRPr="00A5587F">
        <w:rPr>
          <w:rFonts w:ascii="Arial" w:eastAsia="Calibri" w:hAnsi="Arial" w:cs="Arial"/>
          <w:sz w:val="22"/>
          <w:szCs w:val="22"/>
          <w:lang w:val="en-AU"/>
        </w:rPr>
        <w:t xml:space="preserve"> I announced in the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2021 Budget speech</w:t>
      </w:r>
      <w:r w:rsidRPr="00A5587F">
        <w:rPr>
          <w:rFonts w:ascii="Arial" w:eastAsia="Calibri" w:hAnsi="Arial" w:cs="Arial"/>
          <w:sz w:val="22"/>
          <w:szCs w:val="22"/>
          <w:lang w:val="en-AU"/>
        </w:rPr>
        <w:t xml:space="preserve"> the overall intention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>to restructure the corporate income tax system in a revenue neutral manner</w:t>
      </w:r>
      <w:r w:rsidR="008746A9" w:rsidRPr="00A5587F">
        <w:rPr>
          <w:rFonts w:ascii="Arial" w:eastAsia="Calibri" w:hAnsi="Arial" w:cs="Arial"/>
          <w:sz w:val="22"/>
          <w:szCs w:val="22"/>
          <w:lang w:val="en-AU"/>
        </w:rPr>
        <w:t>,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through a combination of </w:t>
      </w:r>
      <w:r w:rsidR="008746A9" w:rsidRPr="00A5587F">
        <w:rPr>
          <w:rFonts w:ascii="Arial" w:eastAsia="Calibri" w:hAnsi="Arial" w:cs="Arial"/>
          <w:sz w:val="22"/>
          <w:szCs w:val="22"/>
          <w:lang w:val="en-AU"/>
        </w:rPr>
        <w:t xml:space="preserve">a tax rate reduction and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>base broadening measures. These measures are expected to enhance efficiency, transparency and fairness in the corporate tax system.  The design of the corporate income tax system can influence taxpayer behaviour</w:t>
      </w:r>
      <w:r w:rsidR="008746A9" w:rsidRPr="00A5587F">
        <w:rPr>
          <w:rFonts w:ascii="Arial" w:eastAsia="Calibri" w:hAnsi="Arial" w:cs="Arial"/>
          <w:sz w:val="22"/>
          <w:szCs w:val="22"/>
          <w:lang w:val="en-AU"/>
        </w:rPr>
        <w:t>,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which impacts the economy. A corporate income tax regime characterised by a broad base (fewer tax incentives and exemptions) and a lower rate is simpler with less loopholes and requires less onerous anti-avoidance legislation.</w:t>
      </w:r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t xml:space="preserve"> By revising the corporate tax base in this manner, we can </w:t>
      </w:r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lastRenderedPageBreak/>
        <w:t xml:space="preserve">afford </w:t>
      </w:r>
      <w:r w:rsidR="00A5587F" w:rsidRPr="00A5587F">
        <w:rPr>
          <w:rFonts w:ascii="Arial" w:eastAsia="Calibri" w:hAnsi="Arial" w:cs="Arial"/>
          <w:sz w:val="22"/>
          <w:szCs w:val="22"/>
          <w:lang w:val="en-AU"/>
        </w:rPr>
        <w:t>my proposed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one percentage point reduction in the corporate income tax rate from 28 per cent to 27 per cent from </w:t>
      </w:r>
      <w:bookmarkStart w:id="7" w:name="_Hlk72240175"/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>April 2022</w:t>
      </w:r>
      <w:bookmarkEnd w:id="7"/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t xml:space="preserve"> without a loss of revenue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. </w:t>
      </w:r>
      <w:r w:rsidR="00534346" w:rsidRPr="00FC60A1">
        <w:rPr>
          <w:rFonts w:ascii="Arial" w:eastAsia="Calibri" w:hAnsi="Arial" w:cs="Arial"/>
          <w:sz w:val="22"/>
          <w:szCs w:val="22"/>
          <w:lang w:val="en-AU"/>
        </w:rPr>
        <w:t>27 per cent is still higher than the current global average of around 23 per cent, but</w:t>
      </w:r>
      <w:r w:rsidR="008746A9" w:rsidRPr="00FC60A1">
        <w:rPr>
          <w:rFonts w:ascii="Arial" w:eastAsia="Calibri" w:hAnsi="Arial" w:cs="Arial"/>
          <w:sz w:val="22"/>
          <w:szCs w:val="22"/>
          <w:lang w:val="en-AU"/>
        </w:rPr>
        <w:t xml:space="preserve"> South Africa </w:t>
      </w:r>
      <w:r w:rsidR="00534346" w:rsidRPr="00FC60A1">
        <w:rPr>
          <w:rFonts w:ascii="Arial" w:eastAsia="Calibri" w:hAnsi="Arial" w:cs="Arial"/>
          <w:sz w:val="22"/>
          <w:szCs w:val="22"/>
          <w:lang w:val="en-AU"/>
        </w:rPr>
        <w:t>is working with more than 100 other countries on a multilateral solution for a global minimum tax rate of at least 15 per cent</w:t>
      </w:r>
      <w:r w:rsidR="008746A9" w:rsidRPr="00FC60A1">
        <w:rPr>
          <w:rFonts w:ascii="Arial" w:eastAsia="Calibri" w:hAnsi="Arial" w:cs="Arial"/>
          <w:sz w:val="22"/>
          <w:szCs w:val="22"/>
          <w:lang w:val="en-AU"/>
        </w:rPr>
        <w:t>.</w:t>
      </w:r>
      <w:r w:rsidR="008746A9" w:rsidRPr="00A5587F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t>A lower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 corporate tax rate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is expected to make our tax system more attractive to investments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>:</w:t>
      </w:r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t xml:space="preserve"> this can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boost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>post COVID-19 recovery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>;</w:t>
      </w:r>
      <w:r w:rsidR="008746A9" w:rsidRPr="00A5587F">
        <w:rPr>
          <w:rFonts w:ascii="Arial" w:eastAsia="Calibri" w:hAnsi="Arial" w:cs="Arial"/>
          <w:sz w:val="22"/>
          <w:szCs w:val="22"/>
          <w:lang w:val="en-AU"/>
        </w:rPr>
        <w:t xml:space="preserve"> reduce the incentive for multinational firms to shift their profits to low-tax countries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>;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and reaffirm our commitment to support business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in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>work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>ing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towards inclusive growth</w:t>
      </w:r>
      <w:r w:rsidR="004E5898" w:rsidRPr="00A5587F">
        <w:rPr>
          <w:rFonts w:ascii="Arial" w:eastAsia="Calibri" w:hAnsi="Arial" w:cs="Arial"/>
          <w:sz w:val="22"/>
          <w:szCs w:val="22"/>
          <w:lang w:val="en-AU"/>
        </w:rPr>
        <w:fldChar w:fldCharType="begin"/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instrText xml:space="preserve"> XE "Growth" </w:instrText>
      </w:r>
      <w:r w:rsidR="004E5898" w:rsidRPr="00A5587F">
        <w:rPr>
          <w:rFonts w:ascii="Arial" w:eastAsia="Calibri" w:hAnsi="Arial" w:cs="Arial"/>
          <w:sz w:val="22"/>
          <w:szCs w:val="22"/>
          <w:lang w:val="en-AU"/>
        </w:rPr>
        <w:fldChar w:fldCharType="end"/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>. Th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>e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announced reduction from 28 to 27 per cent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will be done in </w:t>
      </w:r>
      <w:r w:rsidRPr="00A5587F">
        <w:rPr>
          <w:rFonts w:ascii="Arial" w:eastAsia="Calibri" w:hAnsi="Arial" w:cs="Arial"/>
          <w:sz w:val="22"/>
          <w:szCs w:val="22"/>
          <w:lang w:val="en-AU"/>
        </w:rPr>
        <w:t xml:space="preserve">a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revenue neutral manner by broadening the base through </w:t>
      </w:r>
      <w:r w:rsidR="00683F86" w:rsidRPr="00A5587F">
        <w:rPr>
          <w:rFonts w:ascii="Arial" w:eastAsia="Calibri" w:hAnsi="Arial" w:cs="Arial"/>
          <w:sz w:val="22"/>
          <w:szCs w:val="22"/>
          <w:lang w:val="en-AU"/>
        </w:rPr>
        <w:t xml:space="preserve">reducing the number of tax incentives and implementing the measures that were delayed last year, namely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restricting the use of excessive interest deductions and limiting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the setoff of accumulated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assessed losses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>against taxable income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. The combination of a rate reduction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and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base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broadening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measures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aims to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 xml:space="preserve">ensure affordability </w:t>
      </w:r>
      <w:r w:rsidR="00CD4DA6" w:rsidRPr="00A5587F">
        <w:rPr>
          <w:rFonts w:ascii="Arial" w:eastAsia="Calibri" w:hAnsi="Arial" w:cs="Arial"/>
          <w:sz w:val="22"/>
          <w:szCs w:val="22"/>
          <w:lang w:val="en-AU"/>
        </w:rPr>
        <w:t xml:space="preserve">so </w:t>
      </w:r>
      <w:r w:rsidR="008F4BAD" w:rsidRPr="00A5587F">
        <w:rPr>
          <w:rFonts w:ascii="Arial" w:eastAsia="Calibri" w:hAnsi="Arial" w:cs="Arial"/>
          <w:sz w:val="22"/>
          <w:szCs w:val="22"/>
          <w:lang w:val="en-AU"/>
        </w:rPr>
        <w:t>that no social spending is affected as a result of these proposals.</w:t>
      </w:r>
    </w:p>
    <w:p w:rsidR="007135B2" w:rsidRDefault="007135B2" w:rsidP="007135B2">
      <w:pPr>
        <w:pStyle w:val="ListParagraph"/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2"/>
          <w:szCs w:val="22"/>
          <w:lang w:val="en-AU"/>
        </w:rPr>
      </w:pPr>
    </w:p>
    <w:p w:rsidR="00C401F8" w:rsidRPr="00553EDC" w:rsidRDefault="004E7488" w:rsidP="00172861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No, as the tax system is a very blunt tool to achieve non-revenue </w:t>
      </w:r>
      <w:r w:rsidR="00D3194D">
        <w:rPr>
          <w:rFonts w:ascii="Arial" w:eastAsia="Calibri" w:hAnsi="Arial" w:cs="Arial"/>
          <w:sz w:val="22"/>
          <w:szCs w:val="22"/>
          <w:lang w:val="en-AU"/>
        </w:rPr>
        <w:t xml:space="preserve">related objectives, and introducing </w:t>
      </w:r>
      <w:r w:rsidR="00CD4DA6" w:rsidRPr="007135B2">
        <w:rPr>
          <w:rFonts w:ascii="Arial" w:eastAsia="Calibri" w:hAnsi="Arial" w:cs="Arial"/>
          <w:sz w:val="22"/>
          <w:szCs w:val="22"/>
          <w:lang w:val="en-AU"/>
        </w:rPr>
        <w:t>additional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D3194D">
        <w:rPr>
          <w:rFonts w:ascii="Arial" w:eastAsia="Calibri" w:hAnsi="Arial" w:cs="Arial"/>
          <w:sz w:val="22"/>
          <w:szCs w:val="22"/>
          <w:lang w:val="en-AU"/>
        </w:rPr>
        <w:t xml:space="preserve">further 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>tax incentive</w:t>
      </w:r>
      <w:r w:rsidR="00CD4DA6" w:rsidRPr="007135B2">
        <w:rPr>
          <w:rFonts w:ascii="Arial" w:eastAsia="Calibri" w:hAnsi="Arial" w:cs="Arial"/>
          <w:sz w:val="22"/>
          <w:szCs w:val="22"/>
          <w:lang w:val="en-AU"/>
        </w:rPr>
        <w:t>s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D4DA6" w:rsidRPr="007135B2">
        <w:rPr>
          <w:rFonts w:ascii="Arial" w:eastAsia="Calibri" w:hAnsi="Arial" w:cs="Arial"/>
          <w:sz w:val="22"/>
          <w:szCs w:val="22"/>
          <w:lang w:val="en-AU"/>
        </w:rPr>
        <w:t>w</w:t>
      </w:r>
      <w:r w:rsidR="00D3194D">
        <w:rPr>
          <w:rFonts w:ascii="Arial" w:eastAsia="Calibri" w:hAnsi="Arial" w:cs="Arial"/>
          <w:sz w:val="22"/>
          <w:szCs w:val="22"/>
          <w:lang w:val="en-AU"/>
        </w:rPr>
        <w:t>ill also work against our objective to broaden our tax base and lower the tax rate for all businesses, and to do so in a revenue neutral manner. T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>ax incentives narrow the tax base, requiring a higher tax rate to raise a given level of revenue. The provision of tax incentives often undermines the principles of a good tax system, which should be simple, efficient, equitable and easy to administer. Tax incentives provide certain taxpayers/industries with preferential treatment compared to what is generally available</w:t>
      </w:r>
      <w:r w:rsidR="00230B18">
        <w:rPr>
          <w:rFonts w:ascii="Arial" w:eastAsia="Calibri" w:hAnsi="Arial" w:cs="Arial"/>
          <w:sz w:val="22"/>
          <w:szCs w:val="22"/>
          <w:lang w:val="en-AU"/>
        </w:rPr>
        <w:t xml:space="preserve"> to all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>, creating opportunities for vested interests and lobby groups. The 2021 Budget Review state</w:t>
      </w:r>
      <w:r w:rsidR="00230B18">
        <w:rPr>
          <w:rFonts w:ascii="Arial" w:eastAsia="Calibri" w:hAnsi="Arial" w:cs="Arial"/>
          <w:sz w:val="22"/>
          <w:szCs w:val="22"/>
          <w:lang w:val="en-AU"/>
        </w:rPr>
        <w:t>d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 that “Government is reducing the number of tax incentives, expenditure deductions and assessed loss offsets…”. National Treasury has already commenced a process to review existing corporate tax incentives with a view to repeal those that are redundant and include sunset dates where there are none. Studies conducted by international organizations</w:t>
      </w:r>
      <w:r w:rsidR="00CD4DA6" w:rsidRPr="007135B2">
        <w:rPr>
          <w:rFonts w:ascii="Arial" w:eastAsia="Calibri" w:hAnsi="Arial" w:cs="Arial"/>
          <w:sz w:val="22"/>
          <w:szCs w:val="22"/>
          <w:lang w:val="en-AU"/>
        </w:rPr>
        <w:t>,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 such as </w:t>
      </w:r>
      <w:r w:rsidR="00CD4DA6" w:rsidRPr="007135B2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International Monetary Fund (IMF), the Organization for Economic Cooperation and Development (OECD) and the World Bank </w:t>
      </w:r>
      <w:r w:rsidR="00230B18">
        <w:rPr>
          <w:rFonts w:ascii="Arial" w:eastAsia="Calibri" w:hAnsi="Arial" w:cs="Arial"/>
          <w:sz w:val="22"/>
          <w:szCs w:val="22"/>
          <w:lang w:val="en-AU"/>
        </w:rPr>
        <w:t xml:space="preserve">confirm that investors also value 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other factors </w:t>
      </w:r>
      <w:r w:rsidR="00230B18">
        <w:rPr>
          <w:rFonts w:ascii="Arial" w:eastAsia="Calibri" w:hAnsi="Arial" w:cs="Arial"/>
          <w:sz w:val="22"/>
          <w:szCs w:val="22"/>
          <w:lang w:val="en-AU"/>
        </w:rPr>
        <w:t>above tax incentives when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 making investment decision</w:t>
      </w:r>
      <w:r w:rsidR="00CD4DA6" w:rsidRPr="007135B2">
        <w:rPr>
          <w:rFonts w:ascii="Arial" w:eastAsia="Calibri" w:hAnsi="Arial" w:cs="Arial"/>
          <w:sz w:val="22"/>
          <w:szCs w:val="22"/>
          <w:lang w:val="en-AU"/>
        </w:rPr>
        <w:t>s. These include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 political and policy certainty, infrastructure, access to markets, access to skilled labour, etc. Reducing the corporate income tax rate and 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lastRenderedPageBreak/>
        <w:t xml:space="preserve">broadening the base is a </w:t>
      </w:r>
      <w:r w:rsidR="007218A9" w:rsidRPr="007135B2">
        <w:rPr>
          <w:rFonts w:ascii="Arial" w:eastAsia="Calibri" w:hAnsi="Arial" w:cs="Arial"/>
          <w:sz w:val="22"/>
          <w:szCs w:val="22"/>
          <w:lang w:val="en-AU"/>
        </w:rPr>
        <w:t>better means of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 benefiting all businesses</w:t>
      </w:r>
      <w:r w:rsidR="007218A9" w:rsidRPr="007135B2">
        <w:rPr>
          <w:rFonts w:ascii="Arial" w:eastAsia="Calibri" w:hAnsi="Arial" w:cs="Arial"/>
          <w:sz w:val="22"/>
          <w:szCs w:val="22"/>
          <w:lang w:val="en-AU"/>
        </w:rPr>
        <w:t>. In turn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>, employees and consumers</w:t>
      </w:r>
      <w:r w:rsidR="007218A9" w:rsidRPr="007135B2">
        <w:rPr>
          <w:rFonts w:ascii="Arial" w:eastAsia="Calibri" w:hAnsi="Arial" w:cs="Arial"/>
          <w:sz w:val="22"/>
          <w:szCs w:val="22"/>
          <w:lang w:val="en-AU"/>
        </w:rPr>
        <w:t xml:space="preserve"> can also benefit from higher wages and lower prices</w:t>
      </w:r>
      <w:r w:rsidR="008F4BAD" w:rsidRPr="007135B2">
        <w:rPr>
          <w:rFonts w:ascii="Arial" w:eastAsia="Calibri" w:hAnsi="Arial" w:cs="Arial"/>
          <w:sz w:val="22"/>
          <w:szCs w:val="22"/>
          <w:lang w:val="en-AU"/>
        </w:rPr>
        <w:t xml:space="preserve">. </w:t>
      </w: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BBAD" w16cex:dateUtc="2021-07-05T15:1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F0" w:rsidRDefault="00F22FF0" w:rsidP="00380E88">
      <w:r>
        <w:separator/>
      </w:r>
    </w:p>
  </w:endnote>
  <w:endnote w:type="continuationSeparator" w:id="0">
    <w:p w:rsidR="00F22FF0" w:rsidRDefault="00F22FF0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F0" w:rsidRDefault="00F22FF0" w:rsidP="00380E88">
      <w:r>
        <w:separator/>
      </w:r>
    </w:p>
  </w:footnote>
  <w:footnote w:type="continuationSeparator" w:id="0">
    <w:p w:rsidR="00F22FF0" w:rsidRDefault="00F22FF0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75E14E1"/>
    <w:multiLevelType w:val="hybridMultilevel"/>
    <w:tmpl w:val="61FA37B4"/>
    <w:lvl w:ilvl="0" w:tplc="366A0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E1C23"/>
    <w:multiLevelType w:val="hybridMultilevel"/>
    <w:tmpl w:val="F8961E9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6F198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6E58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149"/>
    <w:rsid w:val="000A3C32"/>
    <w:rsid w:val="000A5567"/>
    <w:rsid w:val="000A57B1"/>
    <w:rsid w:val="000B16E9"/>
    <w:rsid w:val="000B51CC"/>
    <w:rsid w:val="000B555E"/>
    <w:rsid w:val="000C2BEF"/>
    <w:rsid w:val="000C2E11"/>
    <w:rsid w:val="000C3917"/>
    <w:rsid w:val="000C48D8"/>
    <w:rsid w:val="000D5DF7"/>
    <w:rsid w:val="000E1B36"/>
    <w:rsid w:val="000E3AD1"/>
    <w:rsid w:val="000F0AF6"/>
    <w:rsid w:val="000F37A4"/>
    <w:rsid w:val="000F3B14"/>
    <w:rsid w:val="000F5178"/>
    <w:rsid w:val="000F6AB3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72861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E1132"/>
    <w:rsid w:val="001E3FB5"/>
    <w:rsid w:val="001E485F"/>
    <w:rsid w:val="001E58AC"/>
    <w:rsid w:val="001E6902"/>
    <w:rsid w:val="001F4B50"/>
    <w:rsid w:val="001F6D0E"/>
    <w:rsid w:val="001F7560"/>
    <w:rsid w:val="002039C8"/>
    <w:rsid w:val="002065BA"/>
    <w:rsid w:val="00207912"/>
    <w:rsid w:val="00223863"/>
    <w:rsid w:val="0022502D"/>
    <w:rsid w:val="00230B18"/>
    <w:rsid w:val="00230BF6"/>
    <w:rsid w:val="002314BC"/>
    <w:rsid w:val="00236293"/>
    <w:rsid w:val="00251791"/>
    <w:rsid w:val="00260251"/>
    <w:rsid w:val="00262F05"/>
    <w:rsid w:val="0026563C"/>
    <w:rsid w:val="0027436F"/>
    <w:rsid w:val="002855CE"/>
    <w:rsid w:val="00285EA1"/>
    <w:rsid w:val="0028635F"/>
    <w:rsid w:val="002867DD"/>
    <w:rsid w:val="002907DB"/>
    <w:rsid w:val="002927CD"/>
    <w:rsid w:val="00293E24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2F7301"/>
    <w:rsid w:val="003005D2"/>
    <w:rsid w:val="00303F4E"/>
    <w:rsid w:val="00326CF2"/>
    <w:rsid w:val="0034096E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06F8"/>
    <w:rsid w:val="00422EC6"/>
    <w:rsid w:val="004260E9"/>
    <w:rsid w:val="0042645C"/>
    <w:rsid w:val="00426C51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B5723"/>
    <w:rsid w:val="004C0E9B"/>
    <w:rsid w:val="004C0FCD"/>
    <w:rsid w:val="004C57A4"/>
    <w:rsid w:val="004D3BF2"/>
    <w:rsid w:val="004D3D5A"/>
    <w:rsid w:val="004D51F0"/>
    <w:rsid w:val="004D568A"/>
    <w:rsid w:val="004E3098"/>
    <w:rsid w:val="004E5898"/>
    <w:rsid w:val="004E6E7D"/>
    <w:rsid w:val="004E7488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34346"/>
    <w:rsid w:val="00547158"/>
    <w:rsid w:val="00547F39"/>
    <w:rsid w:val="00551E1A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A4C31"/>
    <w:rsid w:val="005B6F0A"/>
    <w:rsid w:val="005D0154"/>
    <w:rsid w:val="005E0875"/>
    <w:rsid w:val="005E21D9"/>
    <w:rsid w:val="005E32E0"/>
    <w:rsid w:val="005E415D"/>
    <w:rsid w:val="005F05C1"/>
    <w:rsid w:val="005F11A2"/>
    <w:rsid w:val="005F4B91"/>
    <w:rsid w:val="005F6B76"/>
    <w:rsid w:val="00600B01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3F86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04DC7"/>
    <w:rsid w:val="00705A95"/>
    <w:rsid w:val="007118EA"/>
    <w:rsid w:val="00712545"/>
    <w:rsid w:val="00712E95"/>
    <w:rsid w:val="007135B2"/>
    <w:rsid w:val="007218A9"/>
    <w:rsid w:val="00726A9C"/>
    <w:rsid w:val="00732A53"/>
    <w:rsid w:val="00734790"/>
    <w:rsid w:val="007359BF"/>
    <w:rsid w:val="00737375"/>
    <w:rsid w:val="00743F26"/>
    <w:rsid w:val="00751942"/>
    <w:rsid w:val="00751A1E"/>
    <w:rsid w:val="007540E0"/>
    <w:rsid w:val="007544A8"/>
    <w:rsid w:val="00756010"/>
    <w:rsid w:val="00756100"/>
    <w:rsid w:val="00757795"/>
    <w:rsid w:val="0076668B"/>
    <w:rsid w:val="007749D9"/>
    <w:rsid w:val="00780F57"/>
    <w:rsid w:val="00783E1A"/>
    <w:rsid w:val="00784A0A"/>
    <w:rsid w:val="0079022D"/>
    <w:rsid w:val="007914E0"/>
    <w:rsid w:val="0079284D"/>
    <w:rsid w:val="00796A27"/>
    <w:rsid w:val="007A32AF"/>
    <w:rsid w:val="007A78C0"/>
    <w:rsid w:val="007A7DF8"/>
    <w:rsid w:val="007B1BA1"/>
    <w:rsid w:val="007C0A59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7F6258"/>
    <w:rsid w:val="00800B54"/>
    <w:rsid w:val="00803AC4"/>
    <w:rsid w:val="00807B52"/>
    <w:rsid w:val="00811367"/>
    <w:rsid w:val="00813FF0"/>
    <w:rsid w:val="00814CE4"/>
    <w:rsid w:val="0081778E"/>
    <w:rsid w:val="008223D4"/>
    <w:rsid w:val="008270A1"/>
    <w:rsid w:val="008321A4"/>
    <w:rsid w:val="0084121D"/>
    <w:rsid w:val="00852DC3"/>
    <w:rsid w:val="008600E0"/>
    <w:rsid w:val="008631A7"/>
    <w:rsid w:val="00866056"/>
    <w:rsid w:val="008746A9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C3575"/>
    <w:rsid w:val="008D3E86"/>
    <w:rsid w:val="008E01C3"/>
    <w:rsid w:val="008E3D62"/>
    <w:rsid w:val="008E4142"/>
    <w:rsid w:val="008F2375"/>
    <w:rsid w:val="008F324E"/>
    <w:rsid w:val="008F4BAD"/>
    <w:rsid w:val="008F7690"/>
    <w:rsid w:val="00905110"/>
    <w:rsid w:val="00910B58"/>
    <w:rsid w:val="00911717"/>
    <w:rsid w:val="009163A5"/>
    <w:rsid w:val="00917C44"/>
    <w:rsid w:val="009203A2"/>
    <w:rsid w:val="009253C8"/>
    <w:rsid w:val="00933C7B"/>
    <w:rsid w:val="00933D87"/>
    <w:rsid w:val="0093680D"/>
    <w:rsid w:val="009508F2"/>
    <w:rsid w:val="00950F95"/>
    <w:rsid w:val="00953363"/>
    <w:rsid w:val="0096007E"/>
    <w:rsid w:val="00960B82"/>
    <w:rsid w:val="00965E2A"/>
    <w:rsid w:val="00972601"/>
    <w:rsid w:val="00976E83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02714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87F"/>
    <w:rsid w:val="00A55CB3"/>
    <w:rsid w:val="00A566A2"/>
    <w:rsid w:val="00A5731A"/>
    <w:rsid w:val="00A60DDB"/>
    <w:rsid w:val="00A677C3"/>
    <w:rsid w:val="00A72B9B"/>
    <w:rsid w:val="00A84063"/>
    <w:rsid w:val="00A84F7F"/>
    <w:rsid w:val="00A907EF"/>
    <w:rsid w:val="00A94B0E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C06302"/>
    <w:rsid w:val="00C21FBA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D4DA6"/>
    <w:rsid w:val="00CF4F42"/>
    <w:rsid w:val="00D01E04"/>
    <w:rsid w:val="00D05765"/>
    <w:rsid w:val="00D1433D"/>
    <w:rsid w:val="00D17D13"/>
    <w:rsid w:val="00D20E78"/>
    <w:rsid w:val="00D20F25"/>
    <w:rsid w:val="00D2724B"/>
    <w:rsid w:val="00D3194D"/>
    <w:rsid w:val="00D332C0"/>
    <w:rsid w:val="00D3397E"/>
    <w:rsid w:val="00D3403D"/>
    <w:rsid w:val="00D34050"/>
    <w:rsid w:val="00D363B6"/>
    <w:rsid w:val="00D37422"/>
    <w:rsid w:val="00D46E69"/>
    <w:rsid w:val="00D61422"/>
    <w:rsid w:val="00D65933"/>
    <w:rsid w:val="00D709E4"/>
    <w:rsid w:val="00D70DE7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BD2"/>
    <w:rsid w:val="00E01FF6"/>
    <w:rsid w:val="00E054EA"/>
    <w:rsid w:val="00E0626A"/>
    <w:rsid w:val="00E103FB"/>
    <w:rsid w:val="00E150D2"/>
    <w:rsid w:val="00E1520C"/>
    <w:rsid w:val="00E27034"/>
    <w:rsid w:val="00E35140"/>
    <w:rsid w:val="00E359AC"/>
    <w:rsid w:val="00E37A36"/>
    <w:rsid w:val="00E42AEE"/>
    <w:rsid w:val="00E43A5D"/>
    <w:rsid w:val="00E44BED"/>
    <w:rsid w:val="00E533D0"/>
    <w:rsid w:val="00E55071"/>
    <w:rsid w:val="00E60EE1"/>
    <w:rsid w:val="00E72F99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1050"/>
    <w:rsid w:val="00ED166D"/>
    <w:rsid w:val="00ED3A3C"/>
    <w:rsid w:val="00EE2E7B"/>
    <w:rsid w:val="00EE7DD6"/>
    <w:rsid w:val="00EF0BB2"/>
    <w:rsid w:val="00EF5BB4"/>
    <w:rsid w:val="00F03C60"/>
    <w:rsid w:val="00F04D43"/>
    <w:rsid w:val="00F05CB1"/>
    <w:rsid w:val="00F06A25"/>
    <w:rsid w:val="00F1421B"/>
    <w:rsid w:val="00F201B8"/>
    <w:rsid w:val="00F22FF0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2F"/>
    <w:rsid w:val="00FB0ABC"/>
    <w:rsid w:val="00FB5217"/>
    <w:rsid w:val="00FC2064"/>
    <w:rsid w:val="00FC2209"/>
    <w:rsid w:val="00FC224A"/>
    <w:rsid w:val="00FC2A11"/>
    <w:rsid w:val="00FC4E03"/>
    <w:rsid w:val="00FC60A1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BC59-A06D-4977-8061-6F4813A2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2021-08-02T11:03:00Z</dcterms:created>
  <dcterms:modified xsi:type="dcterms:W3CDTF">2021-08-02T11:03:00Z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