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06" w:rsidRDefault="00496B06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12</w:t>
      </w:r>
      <w:r w:rsidR="0034767B">
        <w:rPr>
          <w:rFonts w:ascii="Arial" w:hAnsi="Arial" w:cs="Arial"/>
          <w:b/>
          <w:sz w:val="22"/>
          <w:szCs w:val="22"/>
          <w:u w:val="single"/>
        </w:rPr>
        <w:t>34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474A36">
        <w:rPr>
          <w:rFonts w:ascii="Arial" w:hAnsi="Arial" w:cs="Arial"/>
          <w:b/>
          <w:sz w:val="22"/>
          <w:szCs w:val="22"/>
          <w:u w:val="single"/>
        </w:rPr>
        <w:t>06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474A36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4767B" w:rsidRPr="0034767B" w:rsidRDefault="0034767B" w:rsidP="0034767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34767B">
        <w:rPr>
          <w:rFonts w:ascii="Arial" w:hAnsi="Arial" w:cs="Arial"/>
          <w:b/>
          <w:sz w:val="22"/>
          <w:szCs w:val="22"/>
          <w:lang w:val="en-GB"/>
        </w:rPr>
        <w:t>1234</w:t>
      </w:r>
      <w:r w:rsidRPr="0034767B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34767B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34767B">
        <w:rPr>
          <w:rFonts w:ascii="Arial" w:hAnsi="Arial" w:cs="Arial"/>
          <w:b/>
          <w:sz w:val="22"/>
          <w:szCs w:val="22"/>
          <w:lang w:val="en-GB"/>
        </w:rPr>
        <w:t xml:space="preserve">Mr A R </w:t>
      </w:r>
      <w:proofErr w:type="spellStart"/>
      <w:r w:rsidRPr="0034767B">
        <w:rPr>
          <w:rFonts w:ascii="Arial" w:hAnsi="Arial" w:cs="Arial"/>
          <w:b/>
          <w:sz w:val="22"/>
          <w:szCs w:val="22"/>
          <w:lang w:val="en-GB"/>
        </w:rPr>
        <w:t>McLoughlin</w:t>
      </w:r>
      <w:proofErr w:type="spellEnd"/>
      <w:r w:rsidRPr="0034767B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34767B" w:rsidRPr="0034767B" w:rsidRDefault="0034767B" w:rsidP="0034767B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34767B">
        <w:rPr>
          <w:rFonts w:ascii="Arial" w:hAnsi="Arial" w:cs="Arial"/>
          <w:sz w:val="22"/>
          <w:szCs w:val="22"/>
          <w:lang w:val="en-GB"/>
        </w:rPr>
        <w:t>(1)</w:t>
      </w:r>
      <w:r w:rsidRPr="0034767B">
        <w:rPr>
          <w:rFonts w:ascii="Arial" w:hAnsi="Arial" w:cs="Arial"/>
          <w:sz w:val="22"/>
          <w:szCs w:val="22"/>
          <w:lang w:val="en-GB"/>
        </w:rPr>
        <w:tab/>
        <w:t>Whether, with reference to particular key commitments undertaken by her as a consequence of the assessment of her department by the Auditor-General in the 2014-15 financial year, the focus risk assessment has been discussed by her department’s top management; if not, why not; if so, (a)(i) when and (ii) where did such discussions take place, (b) who was present during the specified discussions and (c) what was the outcome of the discussions;</w:t>
      </w:r>
    </w:p>
    <w:p w:rsidR="0034767B" w:rsidRPr="0034767B" w:rsidRDefault="0034767B" w:rsidP="0034767B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34767B">
        <w:rPr>
          <w:rFonts w:ascii="Arial" w:hAnsi="Arial" w:cs="Arial"/>
          <w:sz w:val="22"/>
          <w:szCs w:val="22"/>
          <w:lang w:val="en-GB"/>
        </w:rPr>
        <w:t>(2)</w:t>
      </w:r>
      <w:r w:rsidRPr="0034767B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34767B">
        <w:rPr>
          <w:rFonts w:ascii="Arial" w:hAnsi="Arial" w:cs="Arial"/>
          <w:sz w:val="22"/>
          <w:szCs w:val="22"/>
          <w:lang w:val="en-GB"/>
        </w:rPr>
        <w:t>whetherher</w:t>
      </w:r>
      <w:proofErr w:type="spellEnd"/>
      <w:r w:rsidRPr="0034767B">
        <w:rPr>
          <w:rFonts w:ascii="Arial" w:hAnsi="Arial" w:cs="Arial"/>
          <w:sz w:val="22"/>
          <w:szCs w:val="22"/>
          <w:lang w:val="en-GB"/>
        </w:rPr>
        <w:t xml:space="preserve"> department’s audit committee produce a report on its monitoring of the risk assessment; if not, (a) why not and (b) when will this take place;</w:t>
      </w:r>
    </w:p>
    <w:p w:rsidR="0034767B" w:rsidRPr="0034767B" w:rsidRDefault="0034767B" w:rsidP="0034767B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34767B">
        <w:rPr>
          <w:rFonts w:ascii="Arial" w:hAnsi="Arial" w:cs="Arial"/>
          <w:sz w:val="22"/>
          <w:szCs w:val="22"/>
          <w:lang w:val="en-GB"/>
        </w:rPr>
        <w:t>(3)</w:t>
      </w:r>
      <w:r w:rsidRPr="0034767B">
        <w:rPr>
          <w:rFonts w:ascii="Arial" w:hAnsi="Arial" w:cs="Arial"/>
          <w:sz w:val="22"/>
          <w:szCs w:val="22"/>
          <w:lang w:val="en-GB"/>
        </w:rPr>
        <w:tab/>
        <w:t>whether, with reference to the specified commitments, a structure incorporating the sanitation function has been established; if not, why not; if so, what (a) is the name of the specified structure, (b) are the full relevant details of the terms of reference of the specified structure, (c) sanitation-related work has the specified structure undertaken to date and (d) were the outcomes in each case;</w:t>
      </w:r>
    </w:p>
    <w:p w:rsidR="00474A36" w:rsidRPr="00474A36" w:rsidRDefault="0034767B" w:rsidP="00474A36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34767B">
        <w:rPr>
          <w:rFonts w:ascii="Arial" w:hAnsi="Arial" w:cs="Arial"/>
          <w:sz w:val="22"/>
          <w:szCs w:val="22"/>
          <w:lang w:val="en-GB"/>
        </w:rPr>
        <w:t>(4)</w:t>
      </w:r>
      <w:r w:rsidRPr="0034767B">
        <w:rPr>
          <w:rFonts w:ascii="Arial" w:hAnsi="Arial" w:cs="Arial"/>
          <w:sz w:val="22"/>
          <w:szCs w:val="22"/>
          <w:lang w:val="en-GB"/>
        </w:rPr>
        <w:tab/>
        <w:t>whether, with reference to the specified commitments, a joint team comprising her department, the Auditor-General of South Africa and the National Treasury has met to commence its work towards addressing issues of concern; if not, why not; if so, what are the relevant details?</w:t>
      </w:r>
      <w:r w:rsidRPr="0034767B">
        <w:rPr>
          <w:rFonts w:ascii="Arial" w:hAnsi="Arial" w:cs="Arial"/>
          <w:sz w:val="22"/>
          <w:szCs w:val="22"/>
          <w:lang w:val="en-GB"/>
        </w:rPr>
        <w:tab/>
      </w:r>
      <w:r w:rsidRPr="0034767B">
        <w:rPr>
          <w:rFonts w:ascii="Arial" w:hAnsi="Arial" w:cs="Arial"/>
          <w:sz w:val="22"/>
          <w:szCs w:val="22"/>
          <w:lang w:val="en-GB"/>
        </w:rPr>
        <w:tab/>
      </w:r>
      <w:r w:rsidRPr="003476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34767B">
        <w:rPr>
          <w:rFonts w:ascii="Arial" w:hAnsi="Arial" w:cs="Arial"/>
          <w:sz w:val="16"/>
          <w:szCs w:val="16"/>
          <w:lang w:val="en-GB"/>
        </w:rPr>
        <w:t>NW1382E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2E1C6C" w:rsidRPr="002E1C6C" w:rsidRDefault="009D3D81" w:rsidP="002E1C6C">
      <w:pPr>
        <w:pStyle w:val="ListParagraph"/>
        <w:tabs>
          <w:tab w:val="left" w:pos="851"/>
          <w:tab w:val="left" w:pos="1985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 w:rsidRPr="002E1C6C">
        <w:rPr>
          <w:rFonts w:ascii="Arial" w:hAnsi="Arial" w:cs="Arial"/>
          <w:sz w:val="22"/>
          <w:szCs w:val="22"/>
        </w:rPr>
        <w:t>(1)</w:t>
      </w:r>
      <w:r w:rsidR="002E1C6C" w:rsidRPr="002E1C6C">
        <w:rPr>
          <w:rFonts w:ascii="Arial" w:hAnsi="Arial" w:cs="Arial"/>
          <w:sz w:val="22"/>
          <w:szCs w:val="22"/>
        </w:rPr>
        <w:t>(a)(i)</w:t>
      </w:r>
      <w:r w:rsidR="002E1C6C" w:rsidRPr="002E1C6C">
        <w:rPr>
          <w:rFonts w:ascii="Arial" w:hAnsi="Arial" w:cs="Arial"/>
          <w:sz w:val="22"/>
          <w:szCs w:val="22"/>
        </w:rPr>
        <w:tab/>
        <w:t>My Department's Top Management discussed the Auditor-General (AG)</w:t>
      </w:r>
      <w:r w:rsidR="00177C98">
        <w:rPr>
          <w:rFonts w:ascii="Arial" w:hAnsi="Arial" w:cs="Arial"/>
          <w:sz w:val="22"/>
          <w:szCs w:val="22"/>
        </w:rPr>
        <w:t>’s</w:t>
      </w:r>
      <w:r w:rsidR="002E1C6C" w:rsidRPr="002E1C6C">
        <w:rPr>
          <w:rFonts w:ascii="Arial" w:hAnsi="Arial" w:cs="Arial"/>
          <w:sz w:val="22"/>
          <w:szCs w:val="22"/>
        </w:rPr>
        <w:t xml:space="preserve"> report on the following dates</w:t>
      </w:r>
      <w:r w:rsidR="00177C98">
        <w:rPr>
          <w:rFonts w:ascii="Arial" w:hAnsi="Arial" w:cs="Arial"/>
          <w:sz w:val="22"/>
          <w:szCs w:val="22"/>
        </w:rPr>
        <w:t>,</w:t>
      </w:r>
      <w:r w:rsidR="002E1C6C" w:rsidRPr="002E1C6C">
        <w:rPr>
          <w:rFonts w:ascii="Arial" w:hAnsi="Arial" w:cs="Arial"/>
          <w:sz w:val="22"/>
          <w:szCs w:val="22"/>
        </w:rPr>
        <w:t xml:space="preserve"> refer below:</w:t>
      </w:r>
    </w:p>
    <w:p w:rsidR="002E1C6C" w:rsidRPr="002E1C6C" w:rsidRDefault="002E1C6C" w:rsidP="002E1C6C">
      <w:pPr>
        <w:pStyle w:val="ListParagraph"/>
        <w:numPr>
          <w:ilvl w:val="0"/>
          <w:numId w:val="5"/>
        </w:numPr>
        <w:tabs>
          <w:tab w:val="left" w:pos="851"/>
          <w:tab w:val="left" w:pos="2410"/>
        </w:tabs>
        <w:spacing w:before="100" w:beforeAutospacing="1" w:after="100" w:afterAutospacing="1"/>
        <w:ind w:left="2410" w:hanging="567"/>
        <w:jc w:val="both"/>
        <w:rPr>
          <w:rFonts w:ascii="Arial" w:hAnsi="Arial" w:cs="Arial"/>
          <w:sz w:val="22"/>
          <w:szCs w:val="22"/>
        </w:rPr>
      </w:pPr>
      <w:r w:rsidRPr="002E1C6C">
        <w:rPr>
          <w:rFonts w:ascii="Arial" w:hAnsi="Arial" w:cs="Arial"/>
          <w:sz w:val="22"/>
          <w:szCs w:val="22"/>
        </w:rPr>
        <w:t>13 October 2014;</w:t>
      </w:r>
    </w:p>
    <w:p w:rsidR="0065732B" w:rsidRPr="002E1C6C" w:rsidRDefault="002E1C6C" w:rsidP="002E1C6C">
      <w:pPr>
        <w:pStyle w:val="ListParagraph"/>
        <w:numPr>
          <w:ilvl w:val="0"/>
          <w:numId w:val="5"/>
        </w:numPr>
        <w:tabs>
          <w:tab w:val="left" w:pos="851"/>
          <w:tab w:val="left" w:pos="2410"/>
        </w:tabs>
        <w:spacing w:before="100" w:beforeAutospacing="1" w:after="100" w:afterAutospacing="1"/>
        <w:ind w:left="2410" w:hanging="567"/>
        <w:jc w:val="both"/>
        <w:rPr>
          <w:rFonts w:ascii="Arial" w:hAnsi="Arial" w:cs="Arial"/>
          <w:sz w:val="22"/>
          <w:szCs w:val="22"/>
        </w:rPr>
      </w:pPr>
      <w:r w:rsidRPr="002E1C6C">
        <w:rPr>
          <w:rFonts w:ascii="Arial" w:hAnsi="Arial" w:cs="Arial"/>
          <w:sz w:val="22"/>
          <w:szCs w:val="22"/>
        </w:rPr>
        <w:t xml:space="preserve">23 February 2015; and </w:t>
      </w:r>
    </w:p>
    <w:p w:rsidR="002E1C6C" w:rsidRPr="002E1C6C" w:rsidRDefault="002E1C6C" w:rsidP="002E1C6C">
      <w:pPr>
        <w:pStyle w:val="ListParagraph"/>
        <w:numPr>
          <w:ilvl w:val="0"/>
          <w:numId w:val="5"/>
        </w:numPr>
        <w:tabs>
          <w:tab w:val="left" w:pos="851"/>
          <w:tab w:val="left" w:pos="2410"/>
        </w:tabs>
        <w:spacing w:before="100" w:beforeAutospacing="1" w:after="100" w:afterAutospacing="1"/>
        <w:ind w:left="2410" w:hanging="567"/>
        <w:jc w:val="both"/>
        <w:rPr>
          <w:rFonts w:ascii="Arial" w:hAnsi="Arial" w:cs="Arial"/>
          <w:sz w:val="22"/>
          <w:szCs w:val="22"/>
        </w:rPr>
      </w:pPr>
      <w:r w:rsidRPr="002E1C6C">
        <w:rPr>
          <w:rFonts w:ascii="Arial" w:hAnsi="Arial" w:cs="Arial"/>
          <w:sz w:val="22"/>
          <w:szCs w:val="22"/>
        </w:rPr>
        <w:t>23 March 2015.</w:t>
      </w:r>
    </w:p>
    <w:p w:rsidR="002E1C6C" w:rsidRPr="002E1C6C" w:rsidRDefault="002E1C6C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/>
        <w:jc w:val="both"/>
        <w:rPr>
          <w:rFonts w:ascii="Arial" w:hAnsi="Arial" w:cs="Arial"/>
          <w:sz w:val="22"/>
          <w:szCs w:val="22"/>
        </w:rPr>
      </w:pPr>
    </w:p>
    <w:p w:rsidR="002E1C6C" w:rsidRDefault="002E1C6C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/>
        <w:jc w:val="both"/>
        <w:rPr>
          <w:rFonts w:ascii="Arial" w:hAnsi="Arial" w:cs="Arial"/>
          <w:sz w:val="22"/>
          <w:szCs w:val="22"/>
        </w:rPr>
      </w:pPr>
      <w:r w:rsidRPr="002E1C6C">
        <w:rPr>
          <w:rFonts w:ascii="Arial" w:hAnsi="Arial" w:cs="Arial"/>
          <w:sz w:val="22"/>
          <w:szCs w:val="22"/>
        </w:rPr>
        <w:t>Furthermore the Risk Management Committee also discussed the AG's report on 13 October 2014.</w:t>
      </w:r>
    </w:p>
    <w:p w:rsidR="002E1C6C" w:rsidRDefault="002E1C6C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/>
        <w:jc w:val="both"/>
        <w:rPr>
          <w:rFonts w:ascii="Arial" w:hAnsi="Arial" w:cs="Arial"/>
          <w:sz w:val="22"/>
          <w:szCs w:val="22"/>
        </w:rPr>
      </w:pPr>
    </w:p>
    <w:p w:rsidR="002E1C6C" w:rsidRDefault="002E1C6C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(1)(a)(ii)</w:t>
      </w:r>
      <w:r>
        <w:rPr>
          <w:rFonts w:ascii="Arial" w:hAnsi="Arial" w:cs="Arial"/>
          <w:sz w:val="22"/>
          <w:szCs w:val="22"/>
        </w:rPr>
        <w:tab/>
        <w:t xml:space="preserve">The meeting took place in Pretoria. </w:t>
      </w:r>
    </w:p>
    <w:p w:rsidR="002E1C6C" w:rsidRDefault="002E1C6C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</w:p>
    <w:p w:rsidR="002E1C6C" w:rsidRDefault="009C55C4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 w:rsidR="002E1C6C">
        <w:rPr>
          <w:rFonts w:ascii="Arial" w:hAnsi="Arial" w:cs="Arial"/>
          <w:sz w:val="22"/>
          <w:szCs w:val="22"/>
        </w:rPr>
        <w:tab/>
        <w:t xml:space="preserve">The meeting was attended by members of Top Management and Risk Management. </w:t>
      </w:r>
    </w:p>
    <w:p w:rsidR="009C55C4" w:rsidRDefault="009C55C4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</w:p>
    <w:p w:rsidR="009C55C4" w:rsidRPr="002E1C6C" w:rsidRDefault="009C55C4" w:rsidP="002E1C6C">
      <w:pPr>
        <w:pStyle w:val="ListParagraph"/>
        <w:tabs>
          <w:tab w:val="left" w:pos="851"/>
          <w:tab w:val="left" w:pos="1843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(1)(c)</w:t>
      </w:r>
      <w:r>
        <w:rPr>
          <w:rFonts w:ascii="Arial" w:hAnsi="Arial" w:cs="Arial"/>
          <w:sz w:val="22"/>
          <w:szCs w:val="22"/>
        </w:rPr>
        <w:tab/>
        <w:t xml:space="preserve">The outcomes of the discussions was to mitigate risks as identified by the AG and to continue to improve the internal control environment. </w:t>
      </w:r>
    </w:p>
    <w:p w:rsidR="00372B68" w:rsidRPr="009D3D81" w:rsidRDefault="009D3D81" w:rsidP="002E1C6C">
      <w:pPr>
        <w:tabs>
          <w:tab w:val="left" w:pos="1843"/>
          <w:tab w:val="left" w:pos="3180"/>
        </w:tabs>
        <w:autoSpaceDE w:val="0"/>
        <w:autoSpaceDN w:val="0"/>
        <w:adjustRightInd w:val="0"/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2E1C6C">
        <w:rPr>
          <w:rFonts w:ascii="Arial" w:hAnsi="Arial" w:cs="Arial"/>
          <w:sz w:val="22"/>
          <w:szCs w:val="22"/>
        </w:rPr>
        <w:t>My</w:t>
      </w:r>
      <w:r w:rsidR="0065732B" w:rsidRPr="009D3D81">
        <w:rPr>
          <w:rFonts w:ascii="Arial" w:hAnsi="Arial" w:cs="Arial"/>
          <w:sz w:val="22"/>
          <w:szCs w:val="22"/>
        </w:rPr>
        <w:t xml:space="preserve"> </w:t>
      </w:r>
      <w:r w:rsidR="002E1C6C">
        <w:rPr>
          <w:rFonts w:ascii="Arial" w:hAnsi="Arial" w:cs="Arial"/>
          <w:sz w:val="22"/>
          <w:szCs w:val="22"/>
        </w:rPr>
        <w:t>D</w:t>
      </w:r>
      <w:r w:rsidR="0065732B" w:rsidRPr="009D3D81">
        <w:rPr>
          <w:rFonts w:ascii="Arial" w:hAnsi="Arial" w:cs="Arial"/>
          <w:sz w:val="22"/>
          <w:szCs w:val="22"/>
        </w:rPr>
        <w:t>epartment’s audit committee report has been included in the annual repo</w:t>
      </w:r>
      <w:r w:rsidR="002E1C6C">
        <w:rPr>
          <w:rFonts w:ascii="Arial" w:hAnsi="Arial" w:cs="Arial"/>
          <w:sz w:val="22"/>
          <w:szCs w:val="22"/>
        </w:rPr>
        <w:t xml:space="preserve">rt for 2014/15 financial year. </w:t>
      </w:r>
    </w:p>
    <w:p w:rsidR="00AA7B9D" w:rsidRPr="009D3D81" w:rsidRDefault="00496B06" w:rsidP="00496B06">
      <w:pPr>
        <w:autoSpaceDE w:val="0"/>
        <w:autoSpaceDN w:val="0"/>
        <w:adjustRightInd w:val="0"/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 w:rsidRPr="009D3D81">
        <w:rPr>
          <w:rFonts w:ascii="Arial" w:hAnsi="Arial" w:cs="Arial"/>
          <w:sz w:val="22"/>
          <w:szCs w:val="22"/>
        </w:rPr>
        <w:t>(3)</w:t>
      </w:r>
      <w:r w:rsidR="009D3D81" w:rsidRPr="009D3D81">
        <w:rPr>
          <w:rFonts w:ascii="Arial" w:hAnsi="Arial" w:cs="Arial"/>
          <w:sz w:val="22"/>
          <w:szCs w:val="22"/>
        </w:rPr>
        <w:tab/>
      </w:r>
      <w:r w:rsidR="009D3D81" w:rsidRPr="009D3D81">
        <w:rPr>
          <w:rFonts w:ascii="Arial" w:hAnsi="Arial" w:cs="Arial"/>
          <w:sz w:val="22"/>
          <w:szCs w:val="22"/>
          <w:lang w:val="en-GB"/>
        </w:rPr>
        <w:t xml:space="preserve">No, the structure of the sanitation function remains as transferred from the Department of Human Settlements. The organisational structure of </w:t>
      </w:r>
      <w:r w:rsidR="009D3D81">
        <w:rPr>
          <w:rFonts w:ascii="Arial" w:hAnsi="Arial" w:cs="Arial"/>
          <w:sz w:val="22"/>
          <w:szCs w:val="22"/>
          <w:lang w:val="en-GB"/>
        </w:rPr>
        <w:t>my</w:t>
      </w:r>
      <w:r w:rsidR="009D3D81" w:rsidRPr="009D3D81">
        <w:rPr>
          <w:rFonts w:ascii="Arial" w:hAnsi="Arial" w:cs="Arial"/>
          <w:sz w:val="22"/>
          <w:szCs w:val="22"/>
          <w:lang w:val="en-GB"/>
        </w:rPr>
        <w:t xml:space="preserve"> </w:t>
      </w:r>
      <w:r w:rsidR="009D3D81">
        <w:rPr>
          <w:rFonts w:ascii="Arial" w:hAnsi="Arial" w:cs="Arial"/>
          <w:sz w:val="22"/>
          <w:szCs w:val="22"/>
          <w:lang w:val="en-GB"/>
        </w:rPr>
        <w:t>D</w:t>
      </w:r>
      <w:r w:rsidR="009D3D81" w:rsidRPr="009D3D81">
        <w:rPr>
          <w:rFonts w:ascii="Arial" w:hAnsi="Arial" w:cs="Arial"/>
          <w:sz w:val="22"/>
          <w:szCs w:val="22"/>
          <w:lang w:val="en-GB"/>
        </w:rPr>
        <w:t xml:space="preserve">epartment is </w:t>
      </w:r>
      <w:r w:rsidR="009D3D81">
        <w:rPr>
          <w:rFonts w:ascii="Arial" w:hAnsi="Arial" w:cs="Arial"/>
          <w:sz w:val="22"/>
          <w:szCs w:val="22"/>
          <w:lang w:val="en-GB"/>
        </w:rPr>
        <w:t xml:space="preserve">currently </w:t>
      </w:r>
      <w:r w:rsidR="009D3D81" w:rsidRPr="009D3D81">
        <w:rPr>
          <w:rFonts w:ascii="Arial" w:hAnsi="Arial" w:cs="Arial"/>
          <w:sz w:val="22"/>
          <w:szCs w:val="22"/>
          <w:lang w:val="en-GB"/>
        </w:rPr>
        <w:t xml:space="preserve">being reviewed in its entirety. </w:t>
      </w:r>
    </w:p>
    <w:p w:rsidR="00AA7B9D" w:rsidRPr="009C55C4" w:rsidRDefault="009D3D81" w:rsidP="00496B06">
      <w:pPr>
        <w:autoSpaceDE w:val="0"/>
        <w:autoSpaceDN w:val="0"/>
        <w:adjustRightInd w:val="0"/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 w:rsidRPr="009C55C4">
        <w:rPr>
          <w:rFonts w:ascii="Arial" w:hAnsi="Arial" w:cs="Arial"/>
          <w:sz w:val="22"/>
          <w:szCs w:val="22"/>
        </w:rPr>
        <w:t>(4)</w:t>
      </w:r>
      <w:r w:rsidRPr="009C55C4">
        <w:rPr>
          <w:rFonts w:ascii="Arial" w:hAnsi="Arial" w:cs="Arial"/>
          <w:sz w:val="22"/>
          <w:szCs w:val="22"/>
        </w:rPr>
        <w:tab/>
      </w:r>
      <w:r w:rsidR="009C55C4" w:rsidRPr="009C55C4">
        <w:rPr>
          <w:rFonts w:ascii="Arial" w:hAnsi="Arial" w:cs="Arial"/>
          <w:sz w:val="22"/>
          <w:szCs w:val="22"/>
        </w:rPr>
        <w:t>A Steering Committee fun</w:t>
      </w:r>
      <w:r w:rsidR="00054FCC">
        <w:rPr>
          <w:rFonts w:ascii="Arial" w:hAnsi="Arial" w:cs="Arial"/>
          <w:sz w:val="22"/>
          <w:szCs w:val="22"/>
        </w:rPr>
        <w:t>ctions within my</w:t>
      </w:r>
      <w:r w:rsidR="009C55C4">
        <w:rPr>
          <w:rFonts w:ascii="Arial" w:hAnsi="Arial" w:cs="Arial"/>
          <w:sz w:val="22"/>
          <w:szCs w:val="22"/>
        </w:rPr>
        <w:t xml:space="preserve"> Department</w:t>
      </w:r>
      <w:r w:rsidR="00054FCC">
        <w:rPr>
          <w:rFonts w:ascii="Arial" w:hAnsi="Arial" w:cs="Arial"/>
          <w:sz w:val="22"/>
          <w:szCs w:val="22"/>
        </w:rPr>
        <w:t xml:space="preserve"> and</w:t>
      </w:r>
      <w:r w:rsidR="009C55C4" w:rsidRPr="009C55C4">
        <w:rPr>
          <w:rFonts w:ascii="Arial" w:hAnsi="Arial" w:cs="Arial"/>
          <w:sz w:val="22"/>
          <w:szCs w:val="22"/>
        </w:rPr>
        <w:t xml:space="preserve"> </w:t>
      </w:r>
      <w:r w:rsidR="00054FCC">
        <w:rPr>
          <w:rFonts w:ascii="Arial" w:hAnsi="Arial" w:cs="Arial"/>
          <w:sz w:val="22"/>
          <w:szCs w:val="22"/>
        </w:rPr>
        <w:t xml:space="preserve">is </w:t>
      </w:r>
      <w:r w:rsidR="009C55C4" w:rsidRPr="009C55C4">
        <w:rPr>
          <w:rFonts w:ascii="Arial" w:hAnsi="Arial" w:cs="Arial"/>
          <w:sz w:val="22"/>
          <w:szCs w:val="22"/>
        </w:rPr>
        <w:t xml:space="preserve">attended by </w:t>
      </w:r>
      <w:r w:rsidR="00054FCC">
        <w:rPr>
          <w:rFonts w:ascii="Arial" w:hAnsi="Arial" w:cs="Arial"/>
          <w:sz w:val="22"/>
          <w:szCs w:val="22"/>
        </w:rPr>
        <w:t xml:space="preserve">Top </w:t>
      </w:r>
      <w:r w:rsidR="009C55C4" w:rsidRPr="00496B06">
        <w:rPr>
          <w:rFonts w:ascii="Arial" w:hAnsi="Arial" w:cs="Arial"/>
          <w:sz w:val="22"/>
          <w:szCs w:val="22"/>
          <w:lang w:val="en-GB"/>
        </w:rPr>
        <w:t>Management</w:t>
      </w:r>
      <w:r w:rsidR="009C55C4" w:rsidRPr="009C55C4">
        <w:rPr>
          <w:rFonts w:ascii="Arial" w:hAnsi="Arial" w:cs="Arial"/>
          <w:sz w:val="22"/>
          <w:szCs w:val="22"/>
        </w:rPr>
        <w:t>, Internal Co</w:t>
      </w:r>
      <w:r w:rsidR="00054FCC">
        <w:rPr>
          <w:rFonts w:ascii="Arial" w:hAnsi="Arial" w:cs="Arial"/>
          <w:sz w:val="22"/>
          <w:szCs w:val="22"/>
        </w:rPr>
        <w:t>ntrol, AG and National Treasury, which</w:t>
      </w:r>
      <w:r w:rsidR="009C55C4" w:rsidRPr="009C55C4">
        <w:rPr>
          <w:rFonts w:ascii="Arial" w:hAnsi="Arial" w:cs="Arial"/>
          <w:sz w:val="22"/>
          <w:szCs w:val="22"/>
        </w:rPr>
        <w:t xml:space="preserve"> worked in tandem to resolve the issues raised during the AG Audit</w:t>
      </w:r>
      <w:r w:rsidR="009C55C4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50" w:rsidRDefault="00AC4E50">
      <w:r>
        <w:separator/>
      </w:r>
    </w:p>
  </w:endnote>
  <w:endnote w:type="continuationSeparator" w:id="0">
    <w:p w:rsidR="00AC4E50" w:rsidRDefault="00AC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9B" w:rsidRDefault="003F4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34767B">
      <w:rPr>
        <w:rFonts w:ascii="Arial" w:hAnsi="Arial" w:cs="Arial"/>
        <w:sz w:val="16"/>
        <w:szCs w:val="16"/>
      </w:rPr>
      <w:t>234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474A36">
      <w:rPr>
        <w:rFonts w:ascii="Arial" w:hAnsi="Arial" w:cs="Arial"/>
        <w:sz w:val="16"/>
        <w:szCs w:val="16"/>
      </w:rPr>
      <w:t>38</w:t>
    </w:r>
    <w:r w:rsidR="0034767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4767B">
      <w:rPr>
        <w:rFonts w:ascii="Arial" w:hAnsi="Arial" w:cs="Arial"/>
        <w:sz w:val="16"/>
        <w:szCs w:val="16"/>
      </w:rPr>
      <w:t>1234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474A36">
      <w:rPr>
        <w:rFonts w:ascii="Arial" w:hAnsi="Arial" w:cs="Arial"/>
        <w:sz w:val="16"/>
        <w:szCs w:val="16"/>
      </w:rPr>
      <w:t>38</w:t>
    </w:r>
    <w:r w:rsidR="0034767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50" w:rsidRDefault="00AC4E50">
      <w:r>
        <w:separator/>
      </w:r>
    </w:p>
  </w:footnote>
  <w:footnote w:type="continuationSeparator" w:id="0">
    <w:p w:rsidR="00AC4E50" w:rsidRDefault="00AC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A30E2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9B" w:rsidRDefault="003F4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136"/>
    <w:multiLevelType w:val="hybridMultilevel"/>
    <w:tmpl w:val="8C3EC576"/>
    <w:lvl w:ilvl="0" w:tplc="1C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45B7C"/>
    <w:multiLevelType w:val="hybridMultilevel"/>
    <w:tmpl w:val="DE3E9CB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03608"/>
    <w:multiLevelType w:val="hybridMultilevel"/>
    <w:tmpl w:val="10469C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9026B"/>
    <w:multiLevelType w:val="hybridMultilevel"/>
    <w:tmpl w:val="04187B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54FCC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12E5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30EAE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2936"/>
    <w:rsid w:val="00164340"/>
    <w:rsid w:val="00164CDE"/>
    <w:rsid w:val="001653FA"/>
    <w:rsid w:val="00171B07"/>
    <w:rsid w:val="001758C5"/>
    <w:rsid w:val="00177C98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1C6C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726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2B68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3F4E9B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12E3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6B06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5732B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5802"/>
    <w:rsid w:val="00796C45"/>
    <w:rsid w:val="007A4569"/>
    <w:rsid w:val="007B10CC"/>
    <w:rsid w:val="007B1B06"/>
    <w:rsid w:val="007B1FF5"/>
    <w:rsid w:val="007B2D7B"/>
    <w:rsid w:val="007B5B19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0DD9"/>
    <w:rsid w:val="008E1235"/>
    <w:rsid w:val="008E2DAB"/>
    <w:rsid w:val="008E4A2A"/>
    <w:rsid w:val="008E778C"/>
    <w:rsid w:val="008F4DF9"/>
    <w:rsid w:val="00900786"/>
    <w:rsid w:val="00903072"/>
    <w:rsid w:val="009205C4"/>
    <w:rsid w:val="009230AB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55C4"/>
    <w:rsid w:val="009C7B03"/>
    <w:rsid w:val="009D0ED4"/>
    <w:rsid w:val="009D3D81"/>
    <w:rsid w:val="009E370B"/>
    <w:rsid w:val="009E55B3"/>
    <w:rsid w:val="009E5677"/>
    <w:rsid w:val="009F276C"/>
    <w:rsid w:val="009F76B4"/>
    <w:rsid w:val="00A00641"/>
    <w:rsid w:val="00A00F9F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0E2B"/>
    <w:rsid w:val="00A31282"/>
    <w:rsid w:val="00A3272D"/>
    <w:rsid w:val="00A34652"/>
    <w:rsid w:val="00A35AC5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A7B9D"/>
    <w:rsid w:val="00AC0CBA"/>
    <w:rsid w:val="00AC3702"/>
    <w:rsid w:val="00AC480C"/>
    <w:rsid w:val="00AC4E50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53AD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459"/>
    <w:rsid w:val="00B41D87"/>
    <w:rsid w:val="00B431B2"/>
    <w:rsid w:val="00B50C14"/>
    <w:rsid w:val="00B52B1B"/>
    <w:rsid w:val="00B5373C"/>
    <w:rsid w:val="00B57900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1EE7"/>
    <w:rsid w:val="00DD307F"/>
    <w:rsid w:val="00DD4001"/>
    <w:rsid w:val="00DD43F8"/>
    <w:rsid w:val="00DD6762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B01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2016-05-24T12:52:00Z</dcterms:created>
  <dcterms:modified xsi:type="dcterms:W3CDTF">2016-05-24T12:52:00Z</dcterms:modified>
</cp:coreProperties>
</file>