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E8" w:rsidRPr="005367E8" w:rsidRDefault="005367E8" w:rsidP="005367E8">
      <w:pPr>
        <w:autoSpaceDE w:val="0"/>
        <w:autoSpaceDN w:val="0"/>
        <w:adjustRightInd w:val="0"/>
        <w:spacing w:after="0" w:line="240" w:lineRule="auto"/>
        <w:rPr>
          <w:rFonts w:ascii="Arial" w:hAnsi="Arial" w:cs="Arial"/>
          <w:b/>
          <w:sz w:val="20"/>
          <w:szCs w:val="20"/>
        </w:rPr>
      </w:pPr>
      <w:r w:rsidRPr="005367E8">
        <w:rPr>
          <w:rFonts w:ascii="Arial" w:hAnsi="Arial" w:cs="Arial"/>
          <w:b/>
          <w:sz w:val="20"/>
          <w:szCs w:val="20"/>
        </w:rPr>
        <w:t>3611/4/1 (201800123)</w:t>
      </w:r>
      <w:r w:rsidRPr="005367E8">
        <w:rPr>
          <w:rFonts w:ascii="Arial" w:hAnsi="Arial" w:cs="Arial"/>
          <w:b/>
          <w:sz w:val="20"/>
          <w:szCs w:val="20"/>
        </w:rPr>
        <w:br/>
      </w:r>
    </w:p>
    <w:p w:rsidR="005367E8" w:rsidRPr="005367E8" w:rsidRDefault="005367E8" w:rsidP="005367E8">
      <w:pPr>
        <w:autoSpaceDE w:val="0"/>
        <w:autoSpaceDN w:val="0"/>
        <w:adjustRightInd w:val="0"/>
        <w:spacing w:after="0" w:line="240" w:lineRule="auto"/>
        <w:jc w:val="center"/>
        <w:rPr>
          <w:rFonts w:ascii="Arial" w:hAnsi="Arial" w:cs="Arial"/>
          <w:b/>
          <w:sz w:val="20"/>
          <w:szCs w:val="20"/>
        </w:rPr>
      </w:pPr>
      <w:r w:rsidRPr="005367E8">
        <w:rPr>
          <w:rFonts w:ascii="Arial" w:hAnsi="Arial" w:cs="Arial"/>
          <w:b/>
          <w:sz w:val="20"/>
          <w:szCs w:val="20"/>
        </w:rPr>
        <w:t>NATIONAL ASSEMBLY</w:t>
      </w:r>
    </w:p>
    <w:p w:rsidR="005367E8" w:rsidRPr="005367E8" w:rsidRDefault="005367E8" w:rsidP="005367E8">
      <w:pPr>
        <w:autoSpaceDE w:val="0"/>
        <w:autoSpaceDN w:val="0"/>
        <w:adjustRightInd w:val="0"/>
        <w:spacing w:after="0" w:line="240" w:lineRule="auto"/>
        <w:rPr>
          <w:rFonts w:ascii="Arial" w:hAnsi="Arial" w:cs="Arial"/>
          <w:b/>
          <w:sz w:val="20"/>
          <w:szCs w:val="20"/>
        </w:rPr>
      </w:pPr>
    </w:p>
    <w:p w:rsidR="005367E8" w:rsidRPr="005367E8" w:rsidRDefault="005367E8" w:rsidP="005367E8">
      <w:pPr>
        <w:autoSpaceDE w:val="0"/>
        <w:autoSpaceDN w:val="0"/>
        <w:adjustRightInd w:val="0"/>
        <w:spacing w:after="0" w:line="240" w:lineRule="auto"/>
        <w:rPr>
          <w:rFonts w:ascii="Arial" w:hAnsi="Arial" w:cs="Arial"/>
          <w:b/>
          <w:sz w:val="20"/>
          <w:szCs w:val="20"/>
        </w:rPr>
      </w:pPr>
      <w:r w:rsidRPr="005367E8">
        <w:rPr>
          <w:rFonts w:ascii="Arial" w:hAnsi="Arial" w:cs="Arial"/>
          <w:b/>
          <w:sz w:val="20"/>
          <w:szCs w:val="20"/>
        </w:rPr>
        <w:t>FOR WRITTEN REPLY</w:t>
      </w:r>
    </w:p>
    <w:p w:rsidR="005367E8" w:rsidRPr="005367E8" w:rsidRDefault="005367E8" w:rsidP="005367E8">
      <w:pPr>
        <w:autoSpaceDE w:val="0"/>
        <w:autoSpaceDN w:val="0"/>
        <w:adjustRightInd w:val="0"/>
        <w:spacing w:after="0" w:line="240" w:lineRule="auto"/>
        <w:rPr>
          <w:rFonts w:ascii="Arial" w:hAnsi="Arial" w:cs="Arial"/>
          <w:b/>
          <w:sz w:val="20"/>
          <w:szCs w:val="20"/>
        </w:rPr>
      </w:pPr>
    </w:p>
    <w:p w:rsidR="005367E8" w:rsidRPr="005367E8" w:rsidRDefault="005367E8" w:rsidP="005367E8">
      <w:pPr>
        <w:autoSpaceDE w:val="0"/>
        <w:autoSpaceDN w:val="0"/>
        <w:adjustRightInd w:val="0"/>
        <w:spacing w:after="0" w:line="240" w:lineRule="auto"/>
        <w:rPr>
          <w:rFonts w:ascii="Arial" w:hAnsi="Arial" w:cs="Arial"/>
          <w:b/>
          <w:sz w:val="20"/>
          <w:szCs w:val="20"/>
        </w:rPr>
      </w:pPr>
      <w:r w:rsidRPr="005367E8">
        <w:rPr>
          <w:rFonts w:ascii="Arial" w:hAnsi="Arial" w:cs="Arial"/>
          <w:b/>
          <w:sz w:val="20"/>
          <w:szCs w:val="20"/>
        </w:rPr>
        <w:t>QUESTION 1233</w:t>
      </w:r>
    </w:p>
    <w:p w:rsidR="005367E8" w:rsidRPr="005367E8" w:rsidRDefault="005367E8" w:rsidP="005367E8">
      <w:pPr>
        <w:autoSpaceDE w:val="0"/>
        <w:autoSpaceDN w:val="0"/>
        <w:adjustRightInd w:val="0"/>
        <w:spacing w:after="0" w:line="240" w:lineRule="auto"/>
        <w:rPr>
          <w:rFonts w:ascii="Arial" w:hAnsi="Arial" w:cs="Arial"/>
          <w:b/>
          <w:sz w:val="20"/>
          <w:szCs w:val="20"/>
        </w:rPr>
      </w:pPr>
    </w:p>
    <w:p w:rsidR="005367E8" w:rsidRPr="005367E8" w:rsidRDefault="005367E8" w:rsidP="005367E8">
      <w:pPr>
        <w:autoSpaceDE w:val="0"/>
        <w:autoSpaceDN w:val="0"/>
        <w:adjustRightInd w:val="0"/>
        <w:spacing w:after="0" w:line="240" w:lineRule="auto"/>
        <w:rPr>
          <w:rFonts w:ascii="Arial" w:hAnsi="Arial" w:cs="Arial"/>
          <w:b/>
          <w:sz w:val="20"/>
          <w:szCs w:val="20"/>
        </w:rPr>
      </w:pPr>
      <w:r w:rsidRPr="005367E8">
        <w:rPr>
          <w:rFonts w:ascii="Arial" w:hAnsi="Arial" w:cs="Arial"/>
          <w:b/>
          <w:sz w:val="20"/>
          <w:szCs w:val="20"/>
        </w:rPr>
        <w:t>DATE OF PUBLICATION IN INTERNAL QUESTION PAPER: 26 APRIL 2018</w:t>
      </w:r>
    </w:p>
    <w:p w:rsidR="005367E8" w:rsidRPr="005367E8" w:rsidRDefault="005367E8" w:rsidP="005367E8">
      <w:pPr>
        <w:autoSpaceDE w:val="0"/>
        <w:autoSpaceDN w:val="0"/>
        <w:adjustRightInd w:val="0"/>
        <w:spacing w:after="0" w:line="240" w:lineRule="auto"/>
        <w:rPr>
          <w:rFonts w:ascii="Arial" w:hAnsi="Arial" w:cs="Arial"/>
          <w:b/>
          <w:sz w:val="20"/>
          <w:szCs w:val="20"/>
        </w:rPr>
      </w:pPr>
      <w:r w:rsidRPr="005367E8">
        <w:rPr>
          <w:rFonts w:ascii="Arial" w:hAnsi="Arial" w:cs="Arial"/>
          <w:b/>
          <w:sz w:val="20"/>
          <w:szCs w:val="20"/>
        </w:rPr>
        <w:t>(INTERNAL QUESTION PAPER NO 13-2018)</w:t>
      </w:r>
    </w:p>
    <w:p w:rsidR="005367E8" w:rsidRPr="005367E8" w:rsidRDefault="005367E8" w:rsidP="005367E8">
      <w:pPr>
        <w:autoSpaceDE w:val="0"/>
        <w:autoSpaceDN w:val="0"/>
        <w:adjustRightInd w:val="0"/>
        <w:spacing w:after="0" w:line="240" w:lineRule="auto"/>
        <w:rPr>
          <w:rFonts w:ascii="Arial" w:hAnsi="Arial" w:cs="Arial"/>
          <w:sz w:val="20"/>
          <w:szCs w:val="20"/>
        </w:rPr>
      </w:pPr>
      <w:r w:rsidRPr="005367E8">
        <w:rPr>
          <w:rFonts w:ascii="Arial" w:hAnsi="Arial" w:cs="Arial"/>
          <w:b/>
          <w:sz w:val="20"/>
          <w:szCs w:val="20"/>
        </w:rPr>
        <w:t>1233. Ms D Kohler (DA) to ask the Minister of Police</w:t>
      </w:r>
      <w:proofErr w:type="gramStart"/>
      <w:r w:rsidRPr="005367E8">
        <w:rPr>
          <w:rFonts w:ascii="Arial" w:hAnsi="Arial" w:cs="Arial"/>
          <w:b/>
          <w:sz w:val="20"/>
          <w:szCs w:val="20"/>
        </w:rPr>
        <w:t>:</w:t>
      </w:r>
      <w:proofErr w:type="gramEnd"/>
      <w:r w:rsidRPr="005367E8">
        <w:rPr>
          <w:rFonts w:ascii="Arial" w:hAnsi="Arial" w:cs="Arial"/>
          <w:b/>
          <w:sz w:val="20"/>
          <w:szCs w:val="20"/>
        </w:rPr>
        <w:br/>
      </w:r>
      <w:r w:rsidRPr="005367E8">
        <w:rPr>
          <w:rFonts w:ascii="Arial" w:hAnsi="Arial" w:cs="Arial"/>
          <w:sz w:val="20"/>
          <w:szCs w:val="20"/>
        </w:rPr>
        <w:br/>
        <w:t>What number of (a) members in each specialised unit in each province have been instructed to undergo monthly psychological debriefing and (b) psychologists in each province have contracted with the SA Police Service Medical Scheme to provide services in this regard?</w:t>
      </w:r>
    </w:p>
    <w:p w:rsidR="005367E8" w:rsidRPr="005367E8" w:rsidRDefault="005367E8" w:rsidP="005367E8">
      <w:pPr>
        <w:autoSpaceDE w:val="0"/>
        <w:autoSpaceDN w:val="0"/>
        <w:adjustRightInd w:val="0"/>
        <w:spacing w:after="0" w:line="240" w:lineRule="auto"/>
        <w:rPr>
          <w:rFonts w:ascii="Arial" w:hAnsi="Arial" w:cs="Arial"/>
          <w:sz w:val="20"/>
          <w:szCs w:val="20"/>
        </w:rPr>
      </w:pPr>
      <w:r w:rsidRPr="005367E8">
        <w:rPr>
          <w:rFonts w:ascii="Arial" w:hAnsi="Arial" w:cs="Arial"/>
          <w:sz w:val="20"/>
          <w:szCs w:val="20"/>
        </w:rPr>
        <w:t>NW1332E</w:t>
      </w:r>
    </w:p>
    <w:p w:rsidR="005367E8" w:rsidRPr="005367E8" w:rsidRDefault="005367E8" w:rsidP="005367E8">
      <w:pPr>
        <w:autoSpaceDE w:val="0"/>
        <w:autoSpaceDN w:val="0"/>
        <w:adjustRightInd w:val="0"/>
        <w:spacing w:after="0" w:line="240" w:lineRule="auto"/>
        <w:rPr>
          <w:rFonts w:ascii="Arial" w:hAnsi="Arial" w:cs="Arial"/>
          <w:b/>
          <w:sz w:val="20"/>
          <w:szCs w:val="20"/>
        </w:rPr>
      </w:pPr>
      <w:r w:rsidRPr="005367E8">
        <w:rPr>
          <w:rFonts w:ascii="Arial" w:hAnsi="Arial" w:cs="Arial"/>
          <w:sz w:val="20"/>
          <w:szCs w:val="20"/>
        </w:rPr>
        <w:br/>
      </w:r>
      <w:r w:rsidRPr="005367E8">
        <w:rPr>
          <w:rFonts w:ascii="Arial" w:hAnsi="Arial" w:cs="Arial"/>
          <w:b/>
          <w:sz w:val="20"/>
          <w:szCs w:val="20"/>
        </w:rPr>
        <w:t>REPLY:</w:t>
      </w:r>
    </w:p>
    <w:p w:rsidR="005367E8" w:rsidRPr="005367E8" w:rsidRDefault="005367E8" w:rsidP="005367E8">
      <w:pPr>
        <w:autoSpaceDE w:val="0"/>
        <w:autoSpaceDN w:val="0"/>
        <w:adjustRightInd w:val="0"/>
        <w:spacing w:after="0" w:line="240" w:lineRule="auto"/>
        <w:rPr>
          <w:rFonts w:ascii="Arial" w:hAnsi="Arial" w:cs="Arial"/>
          <w:sz w:val="20"/>
          <w:szCs w:val="20"/>
        </w:rPr>
      </w:pPr>
      <w:r w:rsidRPr="005367E8">
        <w:rPr>
          <w:rFonts w:ascii="Arial" w:hAnsi="Arial" w:cs="Arial"/>
          <w:sz w:val="20"/>
          <w:szCs w:val="20"/>
        </w:rPr>
        <w:t>(a)</w:t>
      </w:r>
    </w:p>
    <w:p w:rsidR="005367E8" w:rsidRPr="005367E8" w:rsidRDefault="005367E8" w:rsidP="005367E8">
      <w:pPr>
        <w:autoSpaceDE w:val="0"/>
        <w:autoSpaceDN w:val="0"/>
        <w:adjustRightInd w:val="0"/>
        <w:spacing w:after="0" w:line="240" w:lineRule="auto"/>
        <w:rPr>
          <w:rFonts w:ascii="Arial" w:hAnsi="Arial" w:cs="Arial"/>
          <w:sz w:val="20"/>
          <w:szCs w:val="20"/>
        </w:rPr>
      </w:pPr>
      <w:r w:rsidRPr="005367E8">
        <w:rPr>
          <w:rFonts w:ascii="Arial" w:hAnsi="Arial" w:cs="Arial"/>
          <w:sz w:val="20"/>
          <w:szCs w:val="20"/>
        </w:rPr>
        <w:t>Trauma Debriefing: Reactive</w:t>
      </w:r>
      <w:r w:rsidRPr="005367E8">
        <w:rPr>
          <w:rFonts w:ascii="Arial" w:hAnsi="Arial" w:cs="Arial"/>
          <w:sz w:val="20"/>
          <w:szCs w:val="20"/>
        </w:rPr>
        <w:br/>
      </w:r>
      <w:r w:rsidRPr="005367E8">
        <w:rPr>
          <w:rFonts w:ascii="Arial" w:hAnsi="Arial" w:cs="Arial"/>
          <w:sz w:val="20"/>
          <w:szCs w:val="20"/>
        </w:rPr>
        <w:br/>
        <w:t>Psychological trauma debriefing is conducted, subsequent to all traumatic Incidents. This intervention is employed within 48 hours after exposure to a traumatic incident. Trauma debriefing is offered to all members of the South African Police Service (SAPS), who have been exposed to trauma. The table below reflects the number of employees of high risk units and operational members, who were debriefed during 2017/2018:</w:t>
      </w:r>
      <w:r w:rsidRPr="005367E8">
        <w:rPr>
          <w:rFonts w:ascii="Arial" w:hAnsi="Arial" w:cs="Arial"/>
          <w:sz w:val="20"/>
          <w:szCs w:val="20"/>
        </w:rPr>
        <w:br/>
      </w:r>
      <w:r w:rsidRPr="005367E8">
        <w:rPr>
          <w:rFonts w:ascii="Arial" w:hAnsi="Arial" w:cs="Arial"/>
          <w:sz w:val="20"/>
          <w:szCs w:val="20"/>
        </w:rPr>
        <w:br/>
      </w:r>
    </w:p>
    <w:tbl>
      <w:tblPr>
        <w:tblStyle w:val="TableGrid"/>
        <w:tblW w:w="0" w:type="auto"/>
        <w:tblLook w:val="04A0"/>
      </w:tblPr>
      <w:tblGrid>
        <w:gridCol w:w="4621"/>
        <w:gridCol w:w="4621"/>
      </w:tblGrid>
      <w:tr w:rsidR="005367E8" w:rsidRPr="005367E8" w:rsidTr="005367E8">
        <w:tc>
          <w:tcPr>
            <w:tcW w:w="4621" w:type="dxa"/>
          </w:tcPr>
          <w:p w:rsidR="005367E8" w:rsidRPr="005367E8" w:rsidRDefault="005367E8" w:rsidP="005367E8">
            <w:pPr>
              <w:autoSpaceDE w:val="0"/>
              <w:autoSpaceDN w:val="0"/>
              <w:adjustRightInd w:val="0"/>
              <w:jc w:val="center"/>
              <w:rPr>
                <w:rFonts w:ascii="Arial" w:hAnsi="Arial" w:cs="Arial"/>
                <w:b/>
                <w:sz w:val="20"/>
                <w:szCs w:val="20"/>
              </w:rPr>
            </w:pPr>
            <w:r w:rsidRPr="005367E8">
              <w:rPr>
                <w:rFonts w:ascii="Arial" w:hAnsi="Arial" w:cs="Arial"/>
                <w:b/>
                <w:sz w:val="20"/>
                <w:szCs w:val="20"/>
              </w:rPr>
              <w:t>Province</w:t>
            </w:r>
          </w:p>
        </w:tc>
        <w:tc>
          <w:tcPr>
            <w:tcW w:w="4621" w:type="dxa"/>
          </w:tcPr>
          <w:p w:rsidR="005367E8" w:rsidRPr="005367E8" w:rsidRDefault="005367E8" w:rsidP="005367E8">
            <w:pPr>
              <w:autoSpaceDE w:val="0"/>
              <w:autoSpaceDN w:val="0"/>
              <w:adjustRightInd w:val="0"/>
              <w:jc w:val="center"/>
              <w:rPr>
                <w:rFonts w:ascii="Arial" w:hAnsi="Arial" w:cs="Arial"/>
                <w:b/>
                <w:sz w:val="20"/>
                <w:szCs w:val="20"/>
              </w:rPr>
            </w:pPr>
            <w:r w:rsidRPr="005367E8">
              <w:rPr>
                <w:rFonts w:ascii="Arial" w:hAnsi="Arial" w:cs="Arial"/>
                <w:b/>
                <w:sz w:val="20"/>
                <w:szCs w:val="20"/>
              </w:rPr>
              <w:t>Number of SAPS Act members debriefed</w:t>
            </w:r>
          </w:p>
        </w:tc>
      </w:tr>
      <w:tr w:rsidR="005367E8" w:rsidRPr="005367E8" w:rsidTr="005367E8">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Eastern Cape</w:t>
            </w:r>
          </w:p>
        </w:tc>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804</w:t>
            </w:r>
          </w:p>
        </w:tc>
      </w:tr>
      <w:tr w:rsidR="005367E8" w:rsidRPr="005367E8" w:rsidTr="005367E8">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Free State</w:t>
            </w:r>
          </w:p>
        </w:tc>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198</w:t>
            </w:r>
          </w:p>
        </w:tc>
      </w:tr>
      <w:tr w:rsidR="005367E8" w:rsidRPr="005367E8" w:rsidTr="005367E8">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 xml:space="preserve">Gauteng </w:t>
            </w:r>
          </w:p>
        </w:tc>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1178</w:t>
            </w:r>
          </w:p>
        </w:tc>
      </w:tr>
      <w:tr w:rsidR="005367E8" w:rsidRPr="005367E8" w:rsidTr="005367E8">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KwaZulu-Natal</w:t>
            </w:r>
          </w:p>
        </w:tc>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408</w:t>
            </w:r>
          </w:p>
        </w:tc>
      </w:tr>
      <w:tr w:rsidR="005367E8" w:rsidRPr="005367E8" w:rsidTr="005367E8">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 xml:space="preserve">Limpopo </w:t>
            </w:r>
          </w:p>
        </w:tc>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368</w:t>
            </w:r>
          </w:p>
        </w:tc>
      </w:tr>
      <w:tr w:rsidR="005367E8" w:rsidRPr="005367E8" w:rsidTr="005367E8">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Mpumalanga</w:t>
            </w:r>
          </w:p>
        </w:tc>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258</w:t>
            </w:r>
          </w:p>
        </w:tc>
      </w:tr>
      <w:tr w:rsidR="005367E8" w:rsidRPr="005367E8" w:rsidTr="005367E8">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Northern Cape</w:t>
            </w:r>
          </w:p>
        </w:tc>
        <w:tc>
          <w:tcPr>
            <w:tcW w:w="4621" w:type="dxa"/>
          </w:tcPr>
          <w:p w:rsidR="005367E8" w:rsidRPr="005367E8" w:rsidRDefault="005367E8" w:rsidP="005367E8">
            <w:pPr>
              <w:autoSpaceDE w:val="0"/>
              <w:autoSpaceDN w:val="0"/>
              <w:adjustRightInd w:val="0"/>
              <w:rPr>
                <w:rFonts w:ascii="Arial" w:hAnsi="Arial" w:cs="Arial"/>
                <w:sz w:val="20"/>
                <w:szCs w:val="20"/>
              </w:rPr>
            </w:pPr>
            <w:r w:rsidRPr="005367E8">
              <w:rPr>
                <w:rFonts w:ascii="Arial" w:hAnsi="Arial" w:cs="Arial"/>
                <w:sz w:val="20"/>
                <w:szCs w:val="20"/>
              </w:rPr>
              <w:t>128</w:t>
            </w:r>
          </w:p>
        </w:tc>
      </w:tr>
      <w:tr w:rsidR="005367E8" w:rsidRPr="005367E8" w:rsidTr="005367E8">
        <w:tc>
          <w:tcPr>
            <w:tcW w:w="4621" w:type="dxa"/>
          </w:tcPr>
          <w:p w:rsidR="005367E8" w:rsidRPr="005367E8" w:rsidRDefault="005367E8" w:rsidP="00512617">
            <w:pPr>
              <w:autoSpaceDE w:val="0"/>
              <w:autoSpaceDN w:val="0"/>
              <w:adjustRightInd w:val="0"/>
              <w:rPr>
                <w:rFonts w:ascii="Arial" w:hAnsi="Arial" w:cs="Arial"/>
                <w:sz w:val="20"/>
                <w:szCs w:val="20"/>
              </w:rPr>
            </w:pPr>
            <w:r w:rsidRPr="005367E8">
              <w:rPr>
                <w:rFonts w:ascii="Arial" w:hAnsi="Arial" w:cs="Arial"/>
                <w:sz w:val="20"/>
                <w:szCs w:val="20"/>
              </w:rPr>
              <w:t>North West</w:t>
            </w:r>
          </w:p>
        </w:tc>
        <w:tc>
          <w:tcPr>
            <w:tcW w:w="4621" w:type="dxa"/>
          </w:tcPr>
          <w:p w:rsidR="005367E8" w:rsidRPr="005367E8" w:rsidRDefault="005367E8" w:rsidP="00512617">
            <w:pPr>
              <w:autoSpaceDE w:val="0"/>
              <w:autoSpaceDN w:val="0"/>
              <w:adjustRightInd w:val="0"/>
              <w:rPr>
                <w:rFonts w:ascii="Arial" w:hAnsi="Arial" w:cs="Arial"/>
                <w:sz w:val="20"/>
                <w:szCs w:val="20"/>
              </w:rPr>
            </w:pPr>
            <w:r w:rsidRPr="005367E8">
              <w:rPr>
                <w:rFonts w:ascii="Arial" w:hAnsi="Arial" w:cs="Arial"/>
                <w:sz w:val="20"/>
                <w:szCs w:val="20"/>
              </w:rPr>
              <w:t>451</w:t>
            </w:r>
          </w:p>
        </w:tc>
      </w:tr>
      <w:tr w:rsidR="005367E8" w:rsidRPr="005367E8" w:rsidTr="005367E8">
        <w:tc>
          <w:tcPr>
            <w:tcW w:w="4621" w:type="dxa"/>
          </w:tcPr>
          <w:p w:rsidR="005367E8" w:rsidRPr="005367E8" w:rsidRDefault="005367E8" w:rsidP="00512617">
            <w:pPr>
              <w:autoSpaceDE w:val="0"/>
              <w:autoSpaceDN w:val="0"/>
              <w:adjustRightInd w:val="0"/>
              <w:rPr>
                <w:rFonts w:ascii="Arial" w:hAnsi="Arial" w:cs="Arial"/>
                <w:sz w:val="20"/>
                <w:szCs w:val="20"/>
              </w:rPr>
            </w:pPr>
            <w:r w:rsidRPr="005367E8">
              <w:rPr>
                <w:rFonts w:ascii="Arial" w:hAnsi="Arial" w:cs="Arial"/>
                <w:sz w:val="20"/>
                <w:szCs w:val="20"/>
              </w:rPr>
              <w:t>Western Cape</w:t>
            </w:r>
          </w:p>
        </w:tc>
        <w:tc>
          <w:tcPr>
            <w:tcW w:w="4621" w:type="dxa"/>
          </w:tcPr>
          <w:p w:rsidR="005367E8" w:rsidRPr="005367E8" w:rsidRDefault="005367E8" w:rsidP="00512617">
            <w:pPr>
              <w:autoSpaceDE w:val="0"/>
              <w:autoSpaceDN w:val="0"/>
              <w:adjustRightInd w:val="0"/>
              <w:rPr>
                <w:rFonts w:ascii="Arial" w:hAnsi="Arial" w:cs="Arial"/>
                <w:sz w:val="20"/>
                <w:szCs w:val="20"/>
              </w:rPr>
            </w:pPr>
            <w:r w:rsidRPr="005367E8">
              <w:rPr>
                <w:rFonts w:ascii="Arial" w:hAnsi="Arial" w:cs="Arial"/>
                <w:sz w:val="20"/>
                <w:szCs w:val="20"/>
              </w:rPr>
              <w:t>1007</w:t>
            </w:r>
          </w:p>
        </w:tc>
      </w:tr>
      <w:tr w:rsidR="005367E8" w:rsidRPr="005367E8" w:rsidTr="005367E8">
        <w:tc>
          <w:tcPr>
            <w:tcW w:w="4621" w:type="dxa"/>
          </w:tcPr>
          <w:p w:rsidR="005367E8" w:rsidRPr="005367E8" w:rsidRDefault="005367E8" w:rsidP="00512617">
            <w:pPr>
              <w:autoSpaceDE w:val="0"/>
              <w:autoSpaceDN w:val="0"/>
              <w:adjustRightInd w:val="0"/>
              <w:rPr>
                <w:rFonts w:ascii="Arial" w:hAnsi="Arial" w:cs="Arial"/>
                <w:sz w:val="20"/>
                <w:szCs w:val="20"/>
              </w:rPr>
            </w:pPr>
            <w:r w:rsidRPr="005367E8">
              <w:rPr>
                <w:rFonts w:ascii="Arial" w:hAnsi="Arial" w:cs="Arial"/>
                <w:sz w:val="20"/>
                <w:szCs w:val="20"/>
              </w:rPr>
              <w:t>Head Office</w:t>
            </w:r>
          </w:p>
        </w:tc>
        <w:tc>
          <w:tcPr>
            <w:tcW w:w="4621" w:type="dxa"/>
          </w:tcPr>
          <w:p w:rsidR="005367E8" w:rsidRPr="005367E8" w:rsidRDefault="005367E8" w:rsidP="00512617">
            <w:pPr>
              <w:autoSpaceDE w:val="0"/>
              <w:autoSpaceDN w:val="0"/>
              <w:adjustRightInd w:val="0"/>
              <w:rPr>
                <w:rFonts w:ascii="Arial" w:hAnsi="Arial" w:cs="Arial"/>
                <w:sz w:val="20"/>
                <w:szCs w:val="20"/>
              </w:rPr>
            </w:pPr>
            <w:r w:rsidRPr="005367E8">
              <w:rPr>
                <w:rFonts w:ascii="Arial" w:hAnsi="Arial" w:cs="Arial"/>
                <w:sz w:val="20"/>
                <w:szCs w:val="20"/>
              </w:rPr>
              <w:t>573</w:t>
            </w:r>
          </w:p>
        </w:tc>
      </w:tr>
      <w:tr w:rsidR="005367E8" w:rsidRPr="005367E8" w:rsidTr="005367E8">
        <w:tc>
          <w:tcPr>
            <w:tcW w:w="4621" w:type="dxa"/>
          </w:tcPr>
          <w:p w:rsidR="005367E8" w:rsidRPr="005367E8" w:rsidRDefault="005367E8" w:rsidP="00512617">
            <w:pPr>
              <w:autoSpaceDE w:val="0"/>
              <w:autoSpaceDN w:val="0"/>
              <w:adjustRightInd w:val="0"/>
              <w:rPr>
                <w:rFonts w:ascii="Arial" w:hAnsi="Arial" w:cs="Arial"/>
                <w:sz w:val="20"/>
                <w:szCs w:val="20"/>
              </w:rPr>
            </w:pPr>
            <w:r w:rsidRPr="005367E8">
              <w:rPr>
                <w:rFonts w:ascii="Arial" w:hAnsi="Arial" w:cs="Arial"/>
                <w:sz w:val="20"/>
                <w:szCs w:val="20"/>
              </w:rPr>
              <w:t xml:space="preserve">Total </w:t>
            </w:r>
          </w:p>
        </w:tc>
        <w:tc>
          <w:tcPr>
            <w:tcW w:w="4621" w:type="dxa"/>
          </w:tcPr>
          <w:p w:rsidR="005367E8" w:rsidRPr="005367E8" w:rsidRDefault="005367E8" w:rsidP="00512617">
            <w:pPr>
              <w:autoSpaceDE w:val="0"/>
              <w:autoSpaceDN w:val="0"/>
              <w:adjustRightInd w:val="0"/>
              <w:rPr>
                <w:rFonts w:ascii="Arial" w:hAnsi="Arial" w:cs="Arial"/>
                <w:sz w:val="20"/>
                <w:szCs w:val="20"/>
              </w:rPr>
            </w:pPr>
            <w:r w:rsidRPr="005367E8">
              <w:rPr>
                <w:rFonts w:ascii="Arial" w:hAnsi="Arial" w:cs="Arial"/>
                <w:sz w:val="20"/>
                <w:szCs w:val="20"/>
              </w:rPr>
              <w:t>5371</w:t>
            </w:r>
          </w:p>
        </w:tc>
      </w:tr>
    </w:tbl>
    <w:p w:rsidR="00844E3E" w:rsidRPr="005367E8" w:rsidRDefault="005367E8" w:rsidP="005367E8">
      <w:pPr>
        <w:autoSpaceDE w:val="0"/>
        <w:autoSpaceDN w:val="0"/>
        <w:adjustRightInd w:val="0"/>
        <w:spacing w:after="0" w:line="240" w:lineRule="auto"/>
        <w:rPr>
          <w:rFonts w:ascii="Arial" w:hAnsi="Arial" w:cs="Arial"/>
          <w:b/>
          <w:sz w:val="20"/>
          <w:szCs w:val="20"/>
        </w:rPr>
      </w:pPr>
      <w:r w:rsidRPr="005367E8">
        <w:rPr>
          <w:rFonts w:ascii="Arial" w:hAnsi="Arial" w:cs="Arial"/>
          <w:sz w:val="20"/>
          <w:szCs w:val="20"/>
        </w:rPr>
        <w:br/>
      </w:r>
      <w:r w:rsidRPr="005367E8">
        <w:rPr>
          <w:rFonts w:ascii="Arial" w:hAnsi="Arial" w:cs="Arial"/>
          <w:b/>
          <w:sz w:val="20"/>
          <w:szCs w:val="20"/>
        </w:rPr>
        <w:t xml:space="preserve">Find here: </w:t>
      </w:r>
      <w:hyperlink r:id="rId4" w:history="1">
        <w:r w:rsidRPr="003C2EEC">
          <w:rPr>
            <w:rStyle w:val="Hyperlink"/>
            <w:rFonts w:ascii="Arial" w:hAnsi="Arial" w:cs="Arial"/>
            <w:b/>
            <w:sz w:val="20"/>
            <w:szCs w:val="20"/>
          </w:rPr>
          <w:t>Multiple Stressor Intervention: Proactive (Biannual)</w:t>
        </w:r>
      </w:hyperlink>
    </w:p>
    <w:sectPr w:rsidR="00844E3E" w:rsidRPr="005367E8" w:rsidSect="00017E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5367E8"/>
    <w:rsid w:val="00017EF7"/>
    <w:rsid w:val="003C2EEC"/>
    <w:rsid w:val="005367E8"/>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233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Proline</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2018-08-17T13:25:00Z</dcterms:created>
  <dcterms:modified xsi:type="dcterms:W3CDTF">2018-08-17T13:25:00Z</dcterms:modified>
</cp:coreProperties>
</file>