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FF53A" w14:textId="77777777" w:rsidR="00C3677B" w:rsidRPr="00B946A7" w:rsidRDefault="00CE323E" w:rsidP="002C0C62">
      <w:pPr>
        <w:jc w:val="center"/>
        <w:rPr>
          <w:rFonts w:ascii="Arial" w:hAnsi="Arial" w:cs="Arial"/>
          <w:sz w:val="24"/>
          <w:szCs w:val="24"/>
        </w:rPr>
      </w:pPr>
      <w:bookmarkStart w:id="0" w:name="_GoBack"/>
      <w:bookmarkEnd w:id="0"/>
      <w:r w:rsidRPr="00B946A7">
        <w:rPr>
          <w:rFonts w:ascii="Arial" w:hAnsi="Arial" w:cs="Arial"/>
          <w:noProof/>
          <w:sz w:val="24"/>
          <w:szCs w:val="24"/>
          <w:lang w:val="en-ZA" w:eastAsia="en-ZA"/>
        </w:rPr>
        <w:drawing>
          <wp:inline distT="0" distB="0" distL="0" distR="0" wp14:anchorId="7F591E8B" wp14:editId="18F5C7D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14:paraId="032FA8D6" w14:textId="77777777" w:rsidR="00C3677B" w:rsidRPr="00B946A7" w:rsidRDefault="00C3677B" w:rsidP="002C0C62">
      <w:pPr>
        <w:spacing w:after="120" w:line="240" w:lineRule="auto"/>
        <w:jc w:val="center"/>
        <w:rPr>
          <w:rFonts w:ascii="Arial" w:hAnsi="Arial" w:cs="Arial"/>
          <w:sz w:val="20"/>
          <w:szCs w:val="24"/>
        </w:rPr>
      </w:pPr>
      <w:r w:rsidRPr="00B946A7">
        <w:rPr>
          <w:rFonts w:ascii="Arial" w:hAnsi="Arial" w:cs="Arial"/>
          <w:sz w:val="20"/>
          <w:szCs w:val="24"/>
        </w:rPr>
        <w:t>Private Bag X893, Pretoria, 0001, Tel (012) 312 5555, Fax (012) 323 5618</w:t>
      </w:r>
    </w:p>
    <w:p w14:paraId="566CC978" w14:textId="77777777" w:rsidR="006B438D" w:rsidRPr="00B946A7" w:rsidRDefault="00C3677B" w:rsidP="002C0C62">
      <w:pPr>
        <w:spacing w:after="120" w:line="240" w:lineRule="auto"/>
        <w:jc w:val="center"/>
        <w:rPr>
          <w:rFonts w:ascii="Arial" w:hAnsi="Arial" w:cs="Arial"/>
          <w:sz w:val="20"/>
          <w:szCs w:val="24"/>
        </w:rPr>
      </w:pPr>
      <w:r w:rsidRPr="00B946A7">
        <w:rPr>
          <w:rFonts w:ascii="Arial" w:hAnsi="Arial" w:cs="Arial"/>
          <w:sz w:val="20"/>
          <w:szCs w:val="24"/>
        </w:rPr>
        <w:t>Private Bag X9192, Cape Town, 8000, Tel (021) 46</w:t>
      </w:r>
      <w:r w:rsidR="00EA2661" w:rsidRPr="00B946A7">
        <w:rPr>
          <w:rFonts w:ascii="Arial" w:hAnsi="Arial" w:cs="Arial"/>
          <w:sz w:val="20"/>
          <w:szCs w:val="24"/>
        </w:rPr>
        <w:t>9</w:t>
      </w:r>
      <w:r w:rsidRPr="00B946A7">
        <w:rPr>
          <w:rFonts w:ascii="Arial" w:hAnsi="Arial" w:cs="Arial"/>
          <w:sz w:val="20"/>
          <w:szCs w:val="24"/>
        </w:rPr>
        <w:t xml:space="preserve"> 5</w:t>
      </w:r>
      <w:r w:rsidR="00EA2661" w:rsidRPr="00B946A7">
        <w:rPr>
          <w:rFonts w:ascii="Arial" w:hAnsi="Arial" w:cs="Arial"/>
          <w:sz w:val="20"/>
          <w:szCs w:val="24"/>
        </w:rPr>
        <w:t>150</w:t>
      </w:r>
      <w:r w:rsidRPr="00B946A7">
        <w:rPr>
          <w:rFonts w:ascii="Arial" w:hAnsi="Arial" w:cs="Arial"/>
          <w:sz w:val="20"/>
          <w:szCs w:val="24"/>
        </w:rPr>
        <w:t>, Fax: (021) 465 7956</w:t>
      </w:r>
    </w:p>
    <w:p w14:paraId="2679F57C" w14:textId="77777777" w:rsidR="00C3677B" w:rsidRPr="00B946A7"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B946A7">
        <w:rPr>
          <w:rFonts w:ascii="Arial" w:hAnsi="Arial" w:cs="Arial"/>
          <w:b/>
          <w:bCs/>
          <w:sz w:val="24"/>
          <w:szCs w:val="24"/>
          <w:lang w:val="en-ZA"/>
        </w:rPr>
        <w:tab/>
        <w:t>Memorandum from the Parliamentary Office</w:t>
      </w:r>
    </w:p>
    <w:p w14:paraId="2FCB6E50" w14:textId="77777777" w:rsidR="001915DA" w:rsidRPr="00B946A7" w:rsidRDefault="001915DA" w:rsidP="00AC588D">
      <w:pPr>
        <w:jc w:val="center"/>
        <w:rPr>
          <w:rFonts w:ascii="Arial" w:hAnsi="Arial" w:cs="Arial"/>
          <w:b/>
          <w:bCs/>
          <w:sz w:val="24"/>
          <w:szCs w:val="24"/>
          <w:lang w:val="en-ZA"/>
        </w:rPr>
      </w:pPr>
      <w:r w:rsidRPr="00B946A7">
        <w:rPr>
          <w:rFonts w:ascii="Arial" w:hAnsi="Arial" w:cs="Arial"/>
          <w:b/>
          <w:bCs/>
          <w:sz w:val="24"/>
          <w:szCs w:val="24"/>
          <w:lang w:val="en-ZA"/>
        </w:rPr>
        <w:t xml:space="preserve">NATIONAL ASSEMBLY </w:t>
      </w:r>
    </w:p>
    <w:p w14:paraId="2A53CBDB" w14:textId="77777777" w:rsidR="00C3677B" w:rsidRPr="00B946A7" w:rsidRDefault="00C3677B" w:rsidP="00615CE2">
      <w:pPr>
        <w:spacing w:after="240"/>
        <w:jc w:val="center"/>
        <w:rPr>
          <w:rFonts w:ascii="Arial" w:hAnsi="Arial" w:cs="Arial"/>
          <w:b/>
          <w:bCs/>
          <w:sz w:val="24"/>
          <w:szCs w:val="24"/>
          <w:lang w:val="en-ZA"/>
        </w:rPr>
      </w:pPr>
      <w:r w:rsidRPr="00B946A7">
        <w:rPr>
          <w:rFonts w:ascii="Arial" w:hAnsi="Arial" w:cs="Arial"/>
          <w:b/>
          <w:bCs/>
          <w:sz w:val="24"/>
          <w:szCs w:val="24"/>
          <w:lang w:val="en-ZA"/>
        </w:rPr>
        <w:t xml:space="preserve">FOR </w:t>
      </w:r>
      <w:r w:rsidR="00AA246C" w:rsidRPr="00B946A7">
        <w:rPr>
          <w:rFonts w:ascii="Arial" w:hAnsi="Arial" w:cs="Arial"/>
          <w:b/>
          <w:bCs/>
          <w:sz w:val="24"/>
          <w:szCs w:val="24"/>
          <w:lang w:val="en-ZA"/>
        </w:rPr>
        <w:t>WRITTEN</w:t>
      </w:r>
      <w:r w:rsidRPr="00B946A7">
        <w:rPr>
          <w:rFonts w:ascii="Arial" w:hAnsi="Arial" w:cs="Arial"/>
          <w:b/>
          <w:bCs/>
          <w:sz w:val="24"/>
          <w:szCs w:val="24"/>
          <w:lang w:val="en-ZA"/>
        </w:rPr>
        <w:t xml:space="preserve"> REPLY</w:t>
      </w:r>
    </w:p>
    <w:p w14:paraId="6BC04D66" w14:textId="77777777" w:rsidR="00C3677B" w:rsidRPr="00B946A7" w:rsidRDefault="00C654A2" w:rsidP="00615CE2">
      <w:pPr>
        <w:spacing w:after="240"/>
        <w:jc w:val="center"/>
        <w:rPr>
          <w:rFonts w:ascii="Arial" w:hAnsi="Arial" w:cs="Arial"/>
          <w:b/>
          <w:bCs/>
          <w:sz w:val="24"/>
          <w:szCs w:val="24"/>
          <w:lang w:val="en-ZA"/>
        </w:rPr>
      </w:pPr>
      <w:r w:rsidRPr="00B946A7">
        <w:rPr>
          <w:rFonts w:ascii="Arial" w:hAnsi="Arial" w:cs="Arial"/>
          <w:b/>
          <w:bCs/>
          <w:sz w:val="24"/>
          <w:szCs w:val="24"/>
          <w:lang w:val="en-ZA"/>
        </w:rPr>
        <w:t xml:space="preserve">QUESTION </w:t>
      </w:r>
      <w:r w:rsidR="00DA48EA" w:rsidRPr="00B946A7">
        <w:rPr>
          <w:rFonts w:ascii="Arial" w:hAnsi="Arial" w:cs="Arial"/>
          <w:b/>
          <w:bCs/>
          <w:sz w:val="24"/>
          <w:szCs w:val="24"/>
          <w:lang w:val="en-ZA"/>
        </w:rPr>
        <w:t>122</w:t>
      </w:r>
      <w:r w:rsidR="00DD26A3" w:rsidRPr="00B946A7">
        <w:rPr>
          <w:rFonts w:ascii="Arial" w:hAnsi="Arial" w:cs="Arial"/>
          <w:b/>
          <w:bCs/>
          <w:sz w:val="24"/>
          <w:szCs w:val="24"/>
          <w:lang w:val="en-ZA"/>
        </w:rPr>
        <w:t>9</w:t>
      </w:r>
    </w:p>
    <w:p w14:paraId="4B662EC6" w14:textId="77777777" w:rsidR="00C3677B" w:rsidRPr="00B946A7" w:rsidRDefault="00C3677B" w:rsidP="00615CE2">
      <w:pPr>
        <w:spacing w:after="240"/>
        <w:jc w:val="center"/>
        <w:rPr>
          <w:rFonts w:ascii="Arial" w:hAnsi="Arial" w:cs="Arial"/>
          <w:b/>
          <w:bCs/>
          <w:sz w:val="24"/>
          <w:szCs w:val="24"/>
          <w:u w:val="single"/>
          <w:lang w:val="en-ZA"/>
        </w:rPr>
      </w:pPr>
      <w:r w:rsidRPr="00B946A7">
        <w:rPr>
          <w:rFonts w:ascii="Arial" w:hAnsi="Arial" w:cs="Arial"/>
          <w:b/>
          <w:bCs/>
          <w:sz w:val="24"/>
          <w:szCs w:val="24"/>
          <w:u w:val="single"/>
          <w:lang w:val="en-ZA"/>
        </w:rPr>
        <w:t>DATE OF PUBLICATIO</w:t>
      </w:r>
      <w:r w:rsidR="009B0E09" w:rsidRPr="00B946A7">
        <w:rPr>
          <w:rFonts w:ascii="Arial" w:hAnsi="Arial" w:cs="Arial"/>
          <w:b/>
          <w:bCs/>
          <w:sz w:val="24"/>
          <w:szCs w:val="24"/>
          <w:u w:val="single"/>
          <w:lang w:val="en-ZA"/>
        </w:rPr>
        <w:t xml:space="preserve">N OF INTERNAL QUESTION PAPER: </w:t>
      </w:r>
      <w:r w:rsidR="00DA48EA" w:rsidRPr="00B946A7">
        <w:rPr>
          <w:rFonts w:ascii="Arial" w:hAnsi="Arial" w:cs="Arial"/>
          <w:b/>
          <w:bCs/>
          <w:sz w:val="24"/>
          <w:szCs w:val="24"/>
          <w:u w:val="single"/>
          <w:lang w:val="en-ZA"/>
        </w:rPr>
        <w:t>26</w:t>
      </w:r>
      <w:r w:rsidR="00CB1096" w:rsidRPr="00B946A7">
        <w:rPr>
          <w:rFonts w:ascii="Arial" w:hAnsi="Arial" w:cs="Arial"/>
          <w:b/>
          <w:bCs/>
          <w:sz w:val="24"/>
          <w:szCs w:val="24"/>
          <w:u w:val="single"/>
          <w:lang w:val="en-ZA"/>
        </w:rPr>
        <w:t>/</w:t>
      </w:r>
      <w:r w:rsidR="0062603D" w:rsidRPr="00B946A7">
        <w:rPr>
          <w:rFonts w:ascii="Arial" w:hAnsi="Arial" w:cs="Arial"/>
          <w:b/>
          <w:bCs/>
          <w:sz w:val="24"/>
          <w:szCs w:val="24"/>
          <w:u w:val="single"/>
          <w:lang w:val="en-ZA"/>
        </w:rPr>
        <w:t>04</w:t>
      </w:r>
      <w:r w:rsidR="00CB1096" w:rsidRPr="00B946A7">
        <w:rPr>
          <w:rFonts w:ascii="Arial" w:hAnsi="Arial" w:cs="Arial"/>
          <w:b/>
          <w:bCs/>
          <w:sz w:val="24"/>
          <w:szCs w:val="24"/>
          <w:u w:val="single"/>
          <w:lang w:val="en-ZA"/>
        </w:rPr>
        <w:t>/</w:t>
      </w:r>
      <w:r w:rsidR="00F73D24" w:rsidRPr="00B946A7">
        <w:rPr>
          <w:rFonts w:ascii="Arial" w:hAnsi="Arial" w:cs="Arial"/>
          <w:b/>
          <w:bCs/>
          <w:sz w:val="24"/>
          <w:szCs w:val="24"/>
          <w:u w:val="single"/>
          <w:lang w:val="en-ZA"/>
        </w:rPr>
        <w:t>201</w:t>
      </w:r>
      <w:r w:rsidR="002C0C62" w:rsidRPr="00B946A7">
        <w:rPr>
          <w:rFonts w:ascii="Arial" w:hAnsi="Arial" w:cs="Arial"/>
          <w:b/>
          <w:bCs/>
          <w:sz w:val="24"/>
          <w:szCs w:val="24"/>
          <w:u w:val="single"/>
          <w:lang w:val="en-ZA"/>
        </w:rPr>
        <w:t>8</w:t>
      </w:r>
    </w:p>
    <w:p w14:paraId="2A1D515A" w14:textId="77777777" w:rsidR="00F177A6" w:rsidRPr="00B946A7" w:rsidRDefault="009B0E09" w:rsidP="00615CE2">
      <w:pPr>
        <w:spacing w:after="240" w:line="360" w:lineRule="auto"/>
        <w:jc w:val="center"/>
        <w:rPr>
          <w:rFonts w:ascii="Arial" w:hAnsi="Arial" w:cs="Arial"/>
          <w:b/>
          <w:bCs/>
          <w:sz w:val="24"/>
          <w:szCs w:val="24"/>
          <w:u w:val="single"/>
          <w:lang w:val="en-ZA"/>
        </w:rPr>
      </w:pPr>
      <w:r w:rsidRPr="00B946A7">
        <w:rPr>
          <w:rFonts w:ascii="Arial" w:hAnsi="Arial" w:cs="Arial"/>
          <w:b/>
          <w:bCs/>
          <w:sz w:val="24"/>
          <w:szCs w:val="24"/>
          <w:u w:val="single"/>
          <w:lang w:val="en-ZA"/>
        </w:rPr>
        <w:t xml:space="preserve">(INTERNAL QUESTION PAPER </w:t>
      </w:r>
      <w:r w:rsidR="002C0C62" w:rsidRPr="00B946A7">
        <w:rPr>
          <w:rFonts w:ascii="Arial" w:hAnsi="Arial" w:cs="Arial"/>
          <w:b/>
          <w:bCs/>
          <w:sz w:val="24"/>
          <w:szCs w:val="24"/>
          <w:u w:val="single"/>
          <w:lang w:val="en-ZA"/>
        </w:rPr>
        <w:t xml:space="preserve">NO </w:t>
      </w:r>
      <w:r w:rsidR="00DA48EA" w:rsidRPr="00B946A7">
        <w:rPr>
          <w:rFonts w:ascii="Arial" w:hAnsi="Arial" w:cs="Arial"/>
          <w:b/>
          <w:bCs/>
          <w:sz w:val="24"/>
          <w:szCs w:val="24"/>
          <w:u w:val="single"/>
          <w:lang w:val="en-ZA"/>
        </w:rPr>
        <w:t>13</w:t>
      </w:r>
      <w:r w:rsidR="008A5D41" w:rsidRPr="00B946A7">
        <w:rPr>
          <w:rFonts w:ascii="Arial" w:hAnsi="Arial" w:cs="Arial"/>
          <w:b/>
          <w:bCs/>
          <w:sz w:val="24"/>
          <w:szCs w:val="24"/>
          <w:u w:val="single"/>
          <w:lang w:val="en-ZA"/>
        </w:rPr>
        <w:t xml:space="preserve"> </w:t>
      </w:r>
      <w:r w:rsidR="00F73D24" w:rsidRPr="00B946A7">
        <w:rPr>
          <w:rFonts w:ascii="Arial" w:hAnsi="Arial" w:cs="Arial"/>
          <w:b/>
          <w:bCs/>
          <w:sz w:val="24"/>
          <w:szCs w:val="24"/>
          <w:u w:val="single"/>
          <w:lang w:val="en-ZA"/>
        </w:rPr>
        <w:t>OF 201</w:t>
      </w:r>
      <w:r w:rsidR="002C0C62" w:rsidRPr="00B946A7">
        <w:rPr>
          <w:rFonts w:ascii="Arial" w:hAnsi="Arial" w:cs="Arial"/>
          <w:b/>
          <w:bCs/>
          <w:sz w:val="24"/>
          <w:szCs w:val="24"/>
          <w:u w:val="single"/>
          <w:lang w:val="en-ZA"/>
        </w:rPr>
        <w:t>8</w:t>
      </w:r>
      <w:r w:rsidR="00E02103" w:rsidRPr="00B946A7">
        <w:rPr>
          <w:rFonts w:ascii="Arial" w:hAnsi="Arial" w:cs="Arial"/>
          <w:b/>
          <w:bCs/>
          <w:sz w:val="24"/>
          <w:szCs w:val="24"/>
          <w:u w:val="single"/>
          <w:lang w:val="en-ZA"/>
        </w:rPr>
        <w:t>)</w:t>
      </w:r>
    </w:p>
    <w:p w14:paraId="41C6A0FE" w14:textId="77777777" w:rsidR="00706CA8" w:rsidRPr="00B946A7" w:rsidRDefault="00615CE2" w:rsidP="00615CE2">
      <w:pPr>
        <w:spacing w:after="240" w:line="360" w:lineRule="auto"/>
        <w:jc w:val="both"/>
        <w:rPr>
          <w:rFonts w:ascii="Arial" w:hAnsi="Arial" w:cs="Arial"/>
          <w:b/>
          <w:noProof/>
          <w:sz w:val="24"/>
          <w:szCs w:val="24"/>
          <w:lang w:val="af-ZA"/>
        </w:rPr>
      </w:pPr>
      <w:r w:rsidRPr="00B946A7">
        <w:rPr>
          <w:rFonts w:ascii="Arial" w:hAnsi="Arial" w:cs="Arial"/>
          <w:b/>
          <w:bCs/>
          <w:sz w:val="24"/>
          <w:szCs w:val="24"/>
          <w:lang w:val="en-ZA"/>
        </w:rPr>
        <w:t xml:space="preserve">Ms H Bucwa (DA) </w:t>
      </w:r>
      <w:r w:rsidR="002A76BD" w:rsidRPr="00B946A7">
        <w:rPr>
          <w:rFonts w:ascii="Arial" w:hAnsi="Arial" w:cs="Arial"/>
          <w:b/>
          <w:noProof/>
          <w:sz w:val="24"/>
          <w:szCs w:val="24"/>
          <w:lang w:val="af-ZA"/>
        </w:rPr>
        <w:t>to ask the Minister of Higher Education and Training:</w:t>
      </w:r>
    </w:p>
    <w:p w14:paraId="7C1B0C0F" w14:textId="77777777" w:rsidR="00615CE2" w:rsidRPr="00B946A7" w:rsidRDefault="00615CE2" w:rsidP="00615CE2">
      <w:pPr>
        <w:spacing w:after="240" w:line="360" w:lineRule="auto"/>
        <w:ind w:left="567" w:hanging="567"/>
        <w:jc w:val="both"/>
        <w:rPr>
          <w:rFonts w:ascii="Arial" w:eastAsia="Cambria" w:hAnsi="Arial" w:cs="Arial"/>
          <w:sz w:val="24"/>
          <w:szCs w:val="24"/>
        </w:rPr>
      </w:pPr>
      <w:r w:rsidRPr="00B946A7">
        <w:rPr>
          <w:rFonts w:ascii="Arial" w:eastAsia="Cambria" w:hAnsi="Arial" w:cs="Arial"/>
          <w:sz w:val="24"/>
          <w:szCs w:val="24"/>
        </w:rPr>
        <w:t>(1)</w:t>
      </w:r>
      <w:r w:rsidRPr="00B946A7">
        <w:rPr>
          <w:rFonts w:ascii="Arial" w:eastAsia="Cambria" w:hAnsi="Arial" w:cs="Arial"/>
          <w:sz w:val="24"/>
          <w:szCs w:val="24"/>
        </w:rPr>
        <w:tab/>
        <w:t>What is the future of the National Certificate (Vocational) programmes, in view of the declining numbers of learners enrolling for these programmes;</w:t>
      </w:r>
    </w:p>
    <w:p w14:paraId="34AA88D8" w14:textId="77777777" w:rsidR="00615CE2" w:rsidRPr="00B946A7" w:rsidRDefault="00615CE2" w:rsidP="00615CE2">
      <w:pPr>
        <w:spacing w:after="240" w:line="360" w:lineRule="auto"/>
        <w:ind w:left="567" w:hanging="567"/>
        <w:jc w:val="both"/>
        <w:rPr>
          <w:rFonts w:ascii="Arial" w:eastAsia="Cambria" w:hAnsi="Arial" w:cs="Arial"/>
          <w:sz w:val="24"/>
          <w:szCs w:val="24"/>
        </w:rPr>
      </w:pPr>
      <w:r w:rsidRPr="00B946A7">
        <w:rPr>
          <w:rFonts w:ascii="Arial" w:eastAsia="Cambria" w:hAnsi="Arial" w:cs="Arial"/>
          <w:sz w:val="24"/>
          <w:szCs w:val="24"/>
        </w:rPr>
        <w:t>(2)</w:t>
      </w:r>
      <w:r w:rsidRPr="00B946A7">
        <w:rPr>
          <w:rFonts w:ascii="Arial" w:eastAsia="Cambria" w:hAnsi="Arial" w:cs="Arial"/>
          <w:sz w:val="24"/>
          <w:szCs w:val="24"/>
        </w:rPr>
        <w:tab/>
        <w:t>(a) how and (b) by which range of entities will the education and training needs of learners who leave school without a National Senior Certificate be addressed in future;</w:t>
      </w:r>
    </w:p>
    <w:p w14:paraId="0D50A7CE" w14:textId="77777777" w:rsidR="000F7804" w:rsidRPr="00B946A7" w:rsidRDefault="00615CE2" w:rsidP="00615CE2">
      <w:pPr>
        <w:spacing w:after="240" w:line="360" w:lineRule="auto"/>
        <w:ind w:left="567" w:hanging="567"/>
        <w:jc w:val="both"/>
        <w:rPr>
          <w:rFonts w:ascii="Arial" w:eastAsia="Cambria" w:hAnsi="Arial" w:cs="Arial"/>
          <w:sz w:val="24"/>
          <w:szCs w:val="24"/>
        </w:rPr>
      </w:pPr>
      <w:r w:rsidRPr="00B946A7">
        <w:rPr>
          <w:rFonts w:ascii="Arial" w:eastAsia="Cambria" w:hAnsi="Arial" w:cs="Arial"/>
          <w:sz w:val="24"/>
          <w:szCs w:val="24"/>
        </w:rPr>
        <w:t>(3)</w:t>
      </w:r>
      <w:r w:rsidRPr="00B946A7">
        <w:rPr>
          <w:rFonts w:ascii="Arial" w:eastAsia="Cambria" w:hAnsi="Arial" w:cs="Arial"/>
          <w:sz w:val="24"/>
          <w:szCs w:val="24"/>
        </w:rPr>
        <w:tab/>
        <w:t>what are the envisaged numbers of learners who would annually be supported financially by her department over the medium term in their efforts to study at levels 2, 3 and 4 at (a) public technical and vocational education and training colleges and (b) community education and training centres?</w:t>
      </w:r>
    </w:p>
    <w:p w14:paraId="6A423B70" w14:textId="77777777" w:rsidR="001915DA" w:rsidRPr="00B946A7" w:rsidRDefault="0062603D" w:rsidP="0062603D">
      <w:pPr>
        <w:spacing w:after="160" w:line="360" w:lineRule="auto"/>
        <w:ind w:left="426" w:firstLine="7796"/>
        <w:jc w:val="both"/>
        <w:rPr>
          <w:rFonts w:ascii="Arial" w:hAnsi="Arial" w:cs="Arial"/>
          <w:b/>
          <w:sz w:val="24"/>
          <w:szCs w:val="24"/>
        </w:rPr>
      </w:pPr>
      <w:r w:rsidRPr="00B946A7">
        <w:rPr>
          <w:rFonts w:ascii="Arial" w:hAnsi="Arial" w:cs="Arial"/>
          <w:b/>
        </w:rPr>
        <w:t>NW</w:t>
      </w:r>
      <w:r w:rsidR="00CB6F79" w:rsidRPr="00B946A7">
        <w:rPr>
          <w:rFonts w:ascii="Arial" w:hAnsi="Arial" w:cs="Arial"/>
          <w:b/>
        </w:rPr>
        <w:t>132</w:t>
      </w:r>
      <w:r w:rsidR="00615CE2" w:rsidRPr="00B946A7">
        <w:rPr>
          <w:rFonts w:ascii="Arial" w:hAnsi="Arial" w:cs="Arial"/>
          <w:b/>
        </w:rPr>
        <w:t>7</w:t>
      </w:r>
      <w:r w:rsidRPr="00B946A7">
        <w:rPr>
          <w:rFonts w:ascii="Arial" w:hAnsi="Arial" w:cs="Arial"/>
          <w:b/>
        </w:rPr>
        <w:t>E</w:t>
      </w:r>
      <w:r w:rsidR="001915DA" w:rsidRPr="00B946A7">
        <w:rPr>
          <w:rFonts w:ascii="Arial" w:hAnsi="Arial" w:cs="Arial"/>
          <w:b/>
          <w:sz w:val="24"/>
          <w:szCs w:val="24"/>
        </w:rPr>
        <w:br w:type="page"/>
      </w:r>
    </w:p>
    <w:p w14:paraId="09EF1AF9" w14:textId="77777777" w:rsidR="007D5278" w:rsidRPr="00B946A7" w:rsidRDefault="00B12389" w:rsidP="00F92071">
      <w:pPr>
        <w:spacing w:after="240" w:line="360" w:lineRule="auto"/>
        <w:jc w:val="both"/>
        <w:rPr>
          <w:rFonts w:ascii="Arial" w:hAnsi="Arial" w:cs="Arial"/>
          <w:b/>
          <w:sz w:val="24"/>
          <w:szCs w:val="24"/>
        </w:rPr>
      </w:pPr>
      <w:r w:rsidRPr="00B946A7">
        <w:rPr>
          <w:rFonts w:ascii="Arial" w:hAnsi="Arial" w:cs="Arial"/>
          <w:b/>
          <w:sz w:val="24"/>
          <w:szCs w:val="24"/>
        </w:rPr>
        <w:lastRenderedPageBreak/>
        <w:t>R</w:t>
      </w:r>
      <w:r w:rsidR="00FC1A3C" w:rsidRPr="00B946A7">
        <w:rPr>
          <w:rFonts w:ascii="Arial" w:hAnsi="Arial" w:cs="Arial"/>
          <w:b/>
          <w:sz w:val="24"/>
          <w:szCs w:val="24"/>
        </w:rPr>
        <w:t>EPLY:</w:t>
      </w:r>
    </w:p>
    <w:p w14:paraId="34EA696C" w14:textId="77777777" w:rsidR="00487842" w:rsidRPr="00B946A7" w:rsidRDefault="00165E53" w:rsidP="00AC4066">
      <w:pPr>
        <w:pStyle w:val="ListParagraph"/>
        <w:numPr>
          <w:ilvl w:val="0"/>
          <w:numId w:val="25"/>
        </w:numPr>
        <w:spacing w:after="240" w:line="360" w:lineRule="auto"/>
        <w:ind w:left="851" w:hanging="851"/>
        <w:contextualSpacing w:val="0"/>
        <w:jc w:val="both"/>
        <w:rPr>
          <w:rFonts w:ascii="Arial" w:hAnsi="Arial" w:cs="Arial"/>
          <w:sz w:val="24"/>
          <w:szCs w:val="24"/>
        </w:rPr>
      </w:pPr>
      <w:r w:rsidRPr="00B946A7">
        <w:rPr>
          <w:rFonts w:ascii="Arial" w:hAnsi="Arial" w:cs="Arial"/>
          <w:sz w:val="24"/>
          <w:szCs w:val="24"/>
        </w:rPr>
        <w:t>The declining enrolments in the Nati</w:t>
      </w:r>
      <w:r w:rsidR="000A79E6">
        <w:rPr>
          <w:rFonts w:ascii="Arial" w:hAnsi="Arial" w:cs="Arial"/>
          <w:sz w:val="24"/>
          <w:szCs w:val="24"/>
        </w:rPr>
        <w:t>onal Certificates (Vocational) (</w:t>
      </w:r>
      <w:r w:rsidRPr="00B946A7">
        <w:rPr>
          <w:rFonts w:ascii="Arial" w:hAnsi="Arial" w:cs="Arial"/>
          <w:sz w:val="24"/>
          <w:szCs w:val="24"/>
        </w:rPr>
        <w:t>NC(</w:t>
      </w:r>
      <w:r w:rsidR="006A497A" w:rsidRPr="00B946A7">
        <w:rPr>
          <w:rFonts w:ascii="Arial" w:hAnsi="Arial" w:cs="Arial"/>
          <w:sz w:val="24"/>
          <w:szCs w:val="24"/>
        </w:rPr>
        <w:t>V)</w:t>
      </w:r>
      <w:r w:rsidR="000A79E6">
        <w:rPr>
          <w:rFonts w:ascii="Arial" w:hAnsi="Arial" w:cs="Arial"/>
          <w:sz w:val="24"/>
          <w:szCs w:val="24"/>
        </w:rPr>
        <w:t>)</w:t>
      </w:r>
      <w:r w:rsidRPr="00B946A7">
        <w:rPr>
          <w:rFonts w:ascii="Arial" w:hAnsi="Arial" w:cs="Arial"/>
          <w:sz w:val="24"/>
          <w:szCs w:val="24"/>
        </w:rPr>
        <w:t xml:space="preserve"> programmes is indicative of the correction process in the </w:t>
      </w:r>
      <w:r w:rsidR="006A497A" w:rsidRPr="00B946A7">
        <w:rPr>
          <w:rFonts w:ascii="Arial" w:hAnsi="Arial" w:cs="Arial"/>
          <w:sz w:val="24"/>
          <w:szCs w:val="24"/>
        </w:rPr>
        <w:t>Technical and Vocational Education and Training (</w:t>
      </w:r>
      <w:r w:rsidRPr="00B946A7">
        <w:rPr>
          <w:rFonts w:ascii="Arial" w:hAnsi="Arial" w:cs="Arial"/>
          <w:sz w:val="24"/>
          <w:szCs w:val="24"/>
        </w:rPr>
        <w:t>TVET</w:t>
      </w:r>
      <w:r w:rsidR="006A497A" w:rsidRPr="00B946A7">
        <w:rPr>
          <w:rFonts w:ascii="Arial" w:hAnsi="Arial" w:cs="Arial"/>
          <w:sz w:val="24"/>
          <w:szCs w:val="24"/>
        </w:rPr>
        <w:t>)</w:t>
      </w:r>
      <w:r w:rsidRPr="00B946A7">
        <w:rPr>
          <w:rFonts w:ascii="Arial" w:hAnsi="Arial" w:cs="Arial"/>
          <w:sz w:val="24"/>
          <w:szCs w:val="24"/>
        </w:rPr>
        <w:t xml:space="preserve"> college system. The qualification was not intended for matriculants. </w:t>
      </w:r>
      <w:r w:rsidR="00487842" w:rsidRPr="00B946A7">
        <w:rPr>
          <w:rFonts w:ascii="Arial" w:hAnsi="Arial" w:cs="Arial"/>
          <w:sz w:val="24"/>
          <w:szCs w:val="24"/>
        </w:rPr>
        <w:t xml:space="preserve">The target group </w:t>
      </w:r>
      <w:r w:rsidR="00833D13" w:rsidRPr="00B946A7">
        <w:rPr>
          <w:rFonts w:ascii="Arial" w:hAnsi="Arial" w:cs="Arial"/>
          <w:sz w:val="24"/>
          <w:szCs w:val="24"/>
        </w:rPr>
        <w:t>was</w:t>
      </w:r>
      <w:r w:rsidR="00487842" w:rsidRPr="00B946A7">
        <w:rPr>
          <w:rFonts w:ascii="Arial" w:hAnsi="Arial" w:cs="Arial"/>
          <w:sz w:val="24"/>
          <w:szCs w:val="24"/>
        </w:rPr>
        <w:t xml:space="preserve"> students who </w:t>
      </w:r>
      <w:r w:rsidR="00833D13" w:rsidRPr="00B946A7">
        <w:rPr>
          <w:rFonts w:ascii="Arial" w:hAnsi="Arial" w:cs="Arial"/>
          <w:sz w:val="24"/>
          <w:szCs w:val="24"/>
        </w:rPr>
        <w:t xml:space="preserve">exited </w:t>
      </w:r>
      <w:r w:rsidR="00487842" w:rsidRPr="00B946A7">
        <w:rPr>
          <w:rFonts w:ascii="Arial" w:hAnsi="Arial" w:cs="Arial"/>
          <w:sz w:val="24"/>
          <w:szCs w:val="24"/>
        </w:rPr>
        <w:t>the basic education system but w</w:t>
      </w:r>
      <w:r w:rsidR="00304ED5">
        <w:rPr>
          <w:rFonts w:ascii="Arial" w:hAnsi="Arial" w:cs="Arial"/>
          <w:sz w:val="24"/>
          <w:szCs w:val="24"/>
        </w:rPr>
        <w:t>ho needed to complete an</w:t>
      </w:r>
      <w:r w:rsidR="00487842" w:rsidRPr="00B946A7">
        <w:rPr>
          <w:rFonts w:ascii="Arial" w:hAnsi="Arial" w:cs="Arial"/>
          <w:sz w:val="24"/>
          <w:szCs w:val="24"/>
        </w:rPr>
        <w:t xml:space="preserve"> equivalent of the National Senior Certificate (NSC). </w:t>
      </w:r>
      <w:r w:rsidRPr="00B946A7">
        <w:rPr>
          <w:rFonts w:ascii="Arial" w:hAnsi="Arial" w:cs="Arial"/>
          <w:sz w:val="24"/>
          <w:szCs w:val="24"/>
        </w:rPr>
        <w:t xml:space="preserve">However, since </w:t>
      </w:r>
      <w:r w:rsidR="00487842" w:rsidRPr="00B946A7">
        <w:rPr>
          <w:rFonts w:ascii="Arial" w:hAnsi="Arial" w:cs="Arial"/>
          <w:sz w:val="24"/>
          <w:szCs w:val="24"/>
        </w:rPr>
        <w:t>the</w:t>
      </w:r>
      <w:r w:rsidRPr="00B946A7">
        <w:rPr>
          <w:rFonts w:ascii="Arial" w:hAnsi="Arial" w:cs="Arial"/>
          <w:sz w:val="24"/>
          <w:szCs w:val="24"/>
        </w:rPr>
        <w:t xml:space="preserve"> inception </w:t>
      </w:r>
      <w:r w:rsidR="00487842" w:rsidRPr="00B946A7">
        <w:rPr>
          <w:rFonts w:ascii="Arial" w:hAnsi="Arial" w:cs="Arial"/>
          <w:sz w:val="24"/>
          <w:szCs w:val="24"/>
        </w:rPr>
        <w:t>of the NC(V)</w:t>
      </w:r>
      <w:r w:rsidR="006C6646" w:rsidRPr="00B946A7">
        <w:rPr>
          <w:rFonts w:ascii="Arial" w:hAnsi="Arial" w:cs="Arial"/>
          <w:sz w:val="24"/>
          <w:szCs w:val="24"/>
        </w:rPr>
        <w:t xml:space="preserve"> in 2007</w:t>
      </w:r>
      <w:r w:rsidR="00487842" w:rsidRPr="00B946A7">
        <w:rPr>
          <w:rFonts w:ascii="Arial" w:hAnsi="Arial" w:cs="Arial"/>
          <w:sz w:val="24"/>
          <w:szCs w:val="24"/>
        </w:rPr>
        <w:t xml:space="preserve">, </w:t>
      </w:r>
      <w:r w:rsidRPr="00B946A7">
        <w:rPr>
          <w:rFonts w:ascii="Arial" w:hAnsi="Arial" w:cs="Arial"/>
          <w:sz w:val="24"/>
          <w:szCs w:val="24"/>
        </w:rPr>
        <w:t xml:space="preserve">colleges enrolled </w:t>
      </w:r>
      <w:r w:rsidR="00487842" w:rsidRPr="00B946A7">
        <w:rPr>
          <w:rFonts w:ascii="Arial" w:hAnsi="Arial" w:cs="Arial"/>
          <w:sz w:val="24"/>
          <w:szCs w:val="24"/>
        </w:rPr>
        <w:t xml:space="preserve">learners </w:t>
      </w:r>
      <w:r w:rsidRPr="00B946A7">
        <w:rPr>
          <w:rFonts w:ascii="Arial" w:hAnsi="Arial" w:cs="Arial"/>
          <w:sz w:val="24"/>
          <w:szCs w:val="24"/>
        </w:rPr>
        <w:t xml:space="preserve">who had already achieved </w:t>
      </w:r>
      <w:r w:rsidR="00487842" w:rsidRPr="00B946A7">
        <w:rPr>
          <w:rFonts w:ascii="Arial" w:hAnsi="Arial" w:cs="Arial"/>
          <w:sz w:val="24"/>
          <w:szCs w:val="24"/>
        </w:rPr>
        <w:t xml:space="preserve">an </w:t>
      </w:r>
      <w:r w:rsidRPr="00B946A7">
        <w:rPr>
          <w:rFonts w:ascii="Arial" w:hAnsi="Arial" w:cs="Arial"/>
          <w:sz w:val="24"/>
          <w:szCs w:val="24"/>
        </w:rPr>
        <w:t>NQF level 4 qualification</w:t>
      </w:r>
      <w:r w:rsidR="00487842" w:rsidRPr="00B946A7">
        <w:rPr>
          <w:rFonts w:ascii="Arial" w:hAnsi="Arial" w:cs="Arial"/>
          <w:sz w:val="24"/>
          <w:szCs w:val="24"/>
        </w:rPr>
        <w:t xml:space="preserve"> in the form of the NSC</w:t>
      </w:r>
      <w:r w:rsidRPr="00B946A7">
        <w:rPr>
          <w:rFonts w:ascii="Arial" w:hAnsi="Arial" w:cs="Arial"/>
          <w:sz w:val="24"/>
          <w:szCs w:val="24"/>
        </w:rPr>
        <w:t xml:space="preserve">. Over the last two </w:t>
      </w:r>
      <w:r w:rsidR="00A04427" w:rsidRPr="00B946A7">
        <w:rPr>
          <w:rFonts w:ascii="Arial" w:hAnsi="Arial" w:cs="Arial"/>
          <w:sz w:val="24"/>
          <w:szCs w:val="24"/>
        </w:rPr>
        <w:t>years,</w:t>
      </w:r>
      <w:r w:rsidRPr="00B946A7">
        <w:rPr>
          <w:rFonts w:ascii="Arial" w:hAnsi="Arial" w:cs="Arial"/>
          <w:sz w:val="24"/>
          <w:szCs w:val="24"/>
        </w:rPr>
        <w:t xml:space="preserve"> colleges have been </w:t>
      </w:r>
      <w:r w:rsidR="006C5CFF" w:rsidRPr="00B946A7">
        <w:rPr>
          <w:rFonts w:ascii="Arial" w:hAnsi="Arial" w:cs="Arial"/>
          <w:sz w:val="24"/>
          <w:szCs w:val="24"/>
        </w:rPr>
        <w:t>advised</w:t>
      </w:r>
      <w:r w:rsidRPr="00B946A7">
        <w:rPr>
          <w:rFonts w:ascii="Arial" w:hAnsi="Arial" w:cs="Arial"/>
          <w:sz w:val="24"/>
          <w:szCs w:val="24"/>
        </w:rPr>
        <w:t xml:space="preserve"> </w:t>
      </w:r>
      <w:r w:rsidR="00487842" w:rsidRPr="00B946A7">
        <w:rPr>
          <w:rFonts w:ascii="Arial" w:hAnsi="Arial" w:cs="Arial"/>
          <w:sz w:val="24"/>
          <w:szCs w:val="24"/>
        </w:rPr>
        <w:t xml:space="preserve">by the Department </w:t>
      </w:r>
      <w:r w:rsidRPr="00B946A7">
        <w:rPr>
          <w:rFonts w:ascii="Arial" w:hAnsi="Arial" w:cs="Arial"/>
          <w:sz w:val="24"/>
          <w:szCs w:val="24"/>
        </w:rPr>
        <w:t xml:space="preserve">to enrol only </w:t>
      </w:r>
      <w:r w:rsidR="00487842" w:rsidRPr="00B946A7">
        <w:rPr>
          <w:rFonts w:ascii="Arial" w:hAnsi="Arial" w:cs="Arial"/>
          <w:sz w:val="24"/>
          <w:szCs w:val="24"/>
        </w:rPr>
        <w:t>learners</w:t>
      </w:r>
      <w:r w:rsidRPr="00B946A7">
        <w:rPr>
          <w:rFonts w:ascii="Arial" w:hAnsi="Arial" w:cs="Arial"/>
          <w:sz w:val="24"/>
          <w:szCs w:val="24"/>
        </w:rPr>
        <w:t xml:space="preserve"> </w:t>
      </w:r>
      <w:r w:rsidR="006C6646" w:rsidRPr="00B946A7">
        <w:rPr>
          <w:rFonts w:ascii="Arial" w:hAnsi="Arial" w:cs="Arial"/>
          <w:sz w:val="24"/>
          <w:szCs w:val="24"/>
        </w:rPr>
        <w:t xml:space="preserve">in the NC(V) </w:t>
      </w:r>
      <w:r w:rsidRPr="00B946A7">
        <w:rPr>
          <w:rFonts w:ascii="Arial" w:hAnsi="Arial" w:cs="Arial"/>
          <w:sz w:val="24"/>
          <w:szCs w:val="24"/>
        </w:rPr>
        <w:t xml:space="preserve">who have not completed </w:t>
      </w:r>
      <w:r w:rsidR="00C5283C" w:rsidRPr="00B946A7">
        <w:rPr>
          <w:rFonts w:ascii="Arial" w:hAnsi="Arial" w:cs="Arial"/>
          <w:sz w:val="24"/>
          <w:szCs w:val="24"/>
        </w:rPr>
        <w:t xml:space="preserve">Grade </w:t>
      </w:r>
      <w:r w:rsidRPr="00B946A7">
        <w:rPr>
          <w:rFonts w:ascii="Arial" w:hAnsi="Arial" w:cs="Arial"/>
          <w:sz w:val="24"/>
          <w:szCs w:val="24"/>
        </w:rPr>
        <w:t>12</w:t>
      </w:r>
      <w:r w:rsidR="004F4369" w:rsidRPr="00B946A7">
        <w:rPr>
          <w:rFonts w:ascii="Arial" w:hAnsi="Arial" w:cs="Arial"/>
          <w:sz w:val="24"/>
          <w:szCs w:val="24"/>
        </w:rPr>
        <w:t xml:space="preserve">. This </w:t>
      </w:r>
      <w:r w:rsidR="006C5CFF" w:rsidRPr="00B946A7">
        <w:rPr>
          <w:rFonts w:ascii="Arial" w:hAnsi="Arial" w:cs="Arial"/>
          <w:sz w:val="24"/>
          <w:szCs w:val="24"/>
        </w:rPr>
        <w:t>position</w:t>
      </w:r>
      <w:r w:rsidR="004F4369" w:rsidRPr="00B946A7">
        <w:rPr>
          <w:rFonts w:ascii="Arial" w:hAnsi="Arial" w:cs="Arial"/>
          <w:sz w:val="24"/>
          <w:szCs w:val="24"/>
        </w:rPr>
        <w:t xml:space="preserve"> is based on </w:t>
      </w:r>
      <w:r w:rsidR="000A79E6">
        <w:rPr>
          <w:rFonts w:ascii="Arial" w:hAnsi="Arial" w:cs="Arial"/>
          <w:sz w:val="24"/>
          <w:szCs w:val="24"/>
        </w:rPr>
        <w:t xml:space="preserve">the </w:t>
      </w:r>
      <w:r w:rsidR="006C6646" w:rsidRPr="00B946A7">
        <w:rPr>
          <w:rFonts w:ascii="Arial" w:hAnsi="Arial" w:cs="Arial"/>
          <w:sz w:val="24"/>
          <w:szCs w:val="24"/>
        </w:rPr>
        <w:t xml:space="preserve">careful </w:t>
      </w:r>
      <w:r w:rsidR="004F4369" w:rsidRPr="00B946A7">
        <w:rPr>
          <w:rFonts w:ascii="Arial" w:hAnsi="Arial" w:cs="Arial"/>
          <w:sz w:val="24"/>
          <w:szCs w:val="24"/>
        </w:rPr>
        <w:t xml:space="preserve">consideration of the </w:t>
      </w:r>
      <w:r w:rsidR="006A497A" w:rsidRPr="00B946A7">
        <w:rPr>
          <w:rFonts w:ascii="Arial" w:hAnsi="Arial" w:cs="Arial"/>
          <w:sz w:val="24"/>
          <w:szCs w:val="24"/>
        </w:rPr>
        <w:t>utilisation</w:t>
      </w:r>
      <w:r w:rsidR="004F4369" w:rsidRPr="00B946A7">
        <w:rPr>
          <w:rFonts w:ascii="Arial" w:hAnsi="Arial" w:cs="Arial"/>
          <w:sz w:val="24"/>
          <w:szCs w:val="24"/>
        </w:rPr>
        <w:t xml:space="preserve"> of limited resources </w:t>
      </w:r>
      <w:r w:rsidR="00487842" w:rsidRPr="00B946A7">
        <w:rPr>
          <w:rFonts w:ascii="Arial" w:hAnsi="Arial" w:cs="Arial"/>
          <w:sz w:val="24"/>
          <w:szCs w:val="24"/>
        </w:rPr>
        <w:t>in the provision of learning opportunities for a wide range of young learners</w:t>
      </w:r>
      <w:r w:rsidR="006C6646" w:rsidRPr="00B946A7">
        <w:rPr>
          <w:rFonts w:ascii="Arial" w:hAnsi="Arial" w:cs="Arial"/>
          <w:sz w:val="24"/>
          <w:szCs w:val="24"/>
        </w:rPr>
        <w:t xml:space="preserve"> in the country</w:t>
      </w:r>
      <w:r w:rsidR="006C5CFF" w:rsidRPr="00B946A7">
        <w:rPr>
          <w:rFonts w:ascii="Arial" w:hAnsi="Arial" w:cs="Arial"/>
          <w:sz w:val="24"/>
          <w:szCs w:val="24"/>
        </w:rPr>
        <w:t xml:space="preserve">, and will </w:t>
      </w:r>
      <w:r w:rsidR="00833D13" w:rsidRPr="00B946A7">
        <w:rPr>
          <w:rFonts w:ascii="Arial" w:hAnsi="Arial" w:cs="Arial"/>
          <w:sz w:val="24"/>
          <w:szCs w:val="24"/>
        </w:rPr>
        <w:t xml:space="preserve">continue in future. </w:t>
      </w:r>
    </w:p>
    <w:p w14:paraId="1FDB1919" w14:textId="77777777" w:rsidR="00A43212" w:rsidRPr="00B946A7" w:rsidRDefault="000A79E6" w:rsidP="00AC4066">
      <w:pPr>
        <w:pStyle w:val="ListParagraph"/>
        <w:numPr>
          <w:ilvl w:val="0"/>
          <w:numId w:val="25"/>
        </w:numPr>
        <w:spacing w:after="240" w:line="360" w:lineRule="auto"/>
        <w:ind w:left="851" w:hanging="851"/>
        <w:contextualSpacing w:val="0"/>
        <w:jc w:val="both"/>
        <w:rPr>
          <w:rFonts w:ascii="Arial" w:hAnsi="Arial" w:cs="Arial"/>
          <w:sz w:val="24"/>
          <w:szCs w:val="24"/>
        </w:rPr>
      </w:pPr>
      <w:r>
        <w:rPr>
          <w:rFonts w:ascii="Arial" w:hAnsi="Arial" w:cs="Arial"/>
          <w:sz w:val="24"/>
          <w:szCs w:val="24"/>
        </w:rPr>
        <w:t>L</w:t>
      </w:r>
      <w:r w:rsidR="00487842" w:rsidRPr="00B946A7">
        <w:rPr>
          <w:rFonts w:ascii="Arial" w:hAnsi="Arial" w:cs="Arial"/>
          <w:sz w:val="24"/>
          <w:szCs w:val="24"/>
        </w:rPr>
        <w:t xml:space="preserve">earners without </w:t>
      </w:r>
      <w:r w:rsidR="00304ED5" w:rsidRPr="00C070E1">
        <w:rPr>
          <w:rFonts w:ascii="Arial" w:hAnsi="Arial" w:cs="Arial"/>
          <w:noProof/>
          <w:sz w:val="24"/>
          <w:szCs w:val="24"/>
        </w:rPr>
        <w:t>a</w:t>
      </w:r>
      <w:r w:rsidR="00C070E1">
        <w:rPr>
          <w:rFonts w:ascii="Arial" w:hAnsi="Arial" w:cs="Arial"/>
          <w:noProof/>
          <w:sz w:val="24"/>
          <w:szCs w:val="24"/>
        </w:rPr>
        <w:t>n</w:t>
      </w:r>
      <w:r w:rsidR="00487842" w:rsidRPr="00C070E1">
        <w:rPr>
          <w:rFonts w:ascii="Arial" w:hAnsi="Arial" w:cs="Arial"/>
          <w:noProof/>
          <w:sz w:val="24"/>
          <w:szCs w:val="24"/>
        </w:rPr>
        <w:t xml:space="preserve"> NSC</w:t>
      </w:r>
      <w:r w:rsidR="00487842" w:rsidRPr="00B946A7">
        <w:rPr>
          <w:rFonts w:ascii="Arial" w:hAnsi="Arial" w:cs="Arial"/>
          <w:sz w:val="24"/>
          <w:szCs w:val="24"/>
        </w:rPr>
        <w:t xml:space="preserve"> </w:t>
      </w:r>
      <w:r w:rsidR="006549ED">
        <w:rPr>
          <w:rFonts w:ascii="Arial" w:hAnsi="Arial" w:cs="Arial"/>
          <w:sz w:val="24"/>
          <w:szCs w:val="24"/>
        </w:rPr>
        <w:t>are</w:t>
      </w:r>
      <w:r w:rsidR="00397C84" w:rsidRPr="00B946A7">
        <w:rPr>
          <w:rFonts w:ascii="Arial" w:hAnsi="Arial" w:cs="Arial"/>
          <w:sz w:val="24"/>
          <w:szCs w:val="24"/>
        </w:rPr>
        <w:t xml:space="preserve"> able to</w:t>
      </w:r>
      <w:r w:rsidR="003A66BC" w:rsidRPr="00B946A7">
        <w:rPr>
          <w:rFonts w:ascii="Arial" w:hAnsi="Arial" w:cs="Arial"/>
          <w:sz w:val="24"/>
          <w:szCs w:val="24"/>
        </w:rPr>
        <w:t xml:space="preserve"> </w:t>
      </w:r>
      <w:r w:rsidR="00487842" w:rsidRPr="00B946A7">
        <w:rPr>
          <w:rFonts w:ascii="Arial" w:hAnsi="Arial" w:cs="Arial"/>
          <w:sz w:val="24"/>
          <w:szCs w:val="24"/>
        </w:rPr>
        <w:t xml:space="preserve">enrol in the </w:t>
      </w:r>
      <w:proofErr w:type="gramStart"/>
      <w:r w:rsidR="00487842" w:rsidRPr="00B946A7">
        <w:rPr>
          <w:rFonts w:ascii="Arial" w:hAnsi="Arial" w:cs="Arial"/>
          <w:sz w:val="24"/>
          <w:szCs w:val="24"/>
        </w:rPr>
        <w:t>NC(</w:t>
      </w:r>
      <w:proofErr w:type="gramEnd"/>
      <w:r w:rsidR="00487842" w:rsidRPr="00B946A7">
        <w:rPr>
          <w:rFonts w:ascii="Arial" w:hAnsi="Arial" w:cs="Arial"/>
          <w:sz w:val="24"/>
          <w:szCs w:val="24"/>
        </w:rPr>
        <w:t xml:space="preserve">V) in </w:t>
      </w:r>
      <w:r w:rsidR="00A43212" w:rsidRPr="00B946A7">
        <w:rPr>
          <w:rFonts w:ascii="Arial" w:hAnsi="Arial" w:cs="Arial"/>
          <w:sz w:val="24"/>
          <w:szCs w:val="24"/>
        </w:rPr>
        <w:t xml:space="preserve">the </w:t>
      </w:r>
      <w:r w:rsidR="00487842" w:rsidRPr="00B946A7">
        <w:rPr>
          <w:rFonts w:ascii="Arial" w:hAnsi="Arial" w:cs="Arial"/>
          <w:sz w:val="24"/>
          <w:szCs w:val="24"/>
        </w:rPr>
        <w:t>TVET colleges</w:t>
      </w:r>
      <w:r w:rsidR="003A66BC" w:rsidRPr="00B946A7">
        <w:rPr>
          <w:rFonts w:ascii="Arial" w:hAnsi="Arial" w:cs="Arial"/>
          <w:sz w:val="24"/>
          <w:szCs w:val="24"/>
        </w:rPr>
        <w:t>,</w:t>
      </w:r>
      <w:r w:rsidR="00487842" w:rsidRPr="00B946A7">
        <w:rPr>
          <w:rFonts w:ascii="Arial" w:hAnsi="Arial" w:cs="Arial"/>
          <w:sz w:val="24"/>
          <w:szCs w:val="24"/>
        </w:rPr>
        <w:t xml:space="preserve"> to complete the equivalent of the NSC qualification. This </w:t>
      </w:r>
      <w:r w:rsidR="003A66BC" w:rsidRPr="00B946A7">
        <w:rPr>
          <w:rFonts w:ascii="Arial" w:hAnsi="Arial" w:cs="Arial"/>
          <w:sz w:val="24"/>
          <w:szCs w:val="24"/>
        </w:rPr>
        <w:t xml:space="preserve">opportunity will be available </w:t>
      </w:r>
      <w:r w:rsidR="00C5283C">
        <w:rPr>
          <w:rFonts w:ascii="Arial" w:hAnsi="Arial" w:cs="Arial"/>
          <w:sz w:val="24"/>
          <w:szCs w:val="24"/>
        </w:rPr>
        <w:t>in</w:t>
      </w:r>
      <w:r w:rsidR="00487842" w:rsidRPr="00B946A7">
        <w:rPr>
          <w:rFonts w:ascii="Arial" w:hAnsi="Arial" w:cs="Arial"/>
          <w:sz w:val="24"/>
          <w:szCs w:val="24"/>
        </w:rPr>
        <w:t xml:space="preserve"> the </w:t>
      </w:r>
      <w:r w:rsidR="003A66BC" w:rsidRPr="00B946A7">
        <w:rPr>
          <w:rFonts w:ascii="Arial" w:hAnsi="Arial" w:cs="Arial"/>
          <w:sz w:val="24"/>
          <w:szCs w:val="24"/>
        </w:rPr>
        <w:t xml:space="preserve">foreseeable </w:t>
      </w:r>
      <w:r w:rsidR="00487842" w:rsidRPr="00B946A7">
        <w:rPr>
          <w:rFonts w:ascii="Arial" w:hAnsi="Arial" w:cs="Arial"/>
          <w:sz w:val="24"/>
          <w:szCs w:val="24"/>
        </w:rPr>
        <w:t xml:space="preserve">future.   </w:t>
      </w:r>
    </w:p>
    <w:p w14:paraId="335E84C9" w14:textId="77777777" w:rsidR="00A43212" w:rsidRPr="00B946A7" w:rsidRDefault="00A43212" w:rsidP="00AC4066">
      <w:pPr>
        <w:pStyle w:val="ListParagraph"/>
        <w:spacing w:after="240" w:line="360" w:lineRule="auto"/>
        <w:ind w:left="851"/>
        <w:contextualSpacing w:val="0"/>
        <w:jc w:val="both"/>
        <w:rPr>
          <w:rFonts w:ascii="Arial" w:hAnsi="Arial" w:cs="Arial"/>
          <w:sz w:val="24"/>
          <w:szCs w:val="24"/>
        </w:rPr>
      </w:pPr>
      <w:r w:rsidRPr="00B946A7">
        <w:rPr>
          <w:rFonts w:ascii="Arial" w:hAnsi="Arial" w:cs="Arial"/>
          <w:sz w:val="24"/>
          <w:szCs w:val="24"/>
        </w:rPr>
        <w:t xml:space="preserve">Through Community Education and Training </w:t>
      </w:r>
      <w:r w:rsidR="000A79E6">
        <w:rPr>
          <w:rFonts w:ascii="Arial" w:hAnsi="Arial" w:cs="Arial"/>
          <w:sz w:val="24"/>
          <w:szCs w:val="24"/>
        </w:rPr>
        <w:t xml:space="preserve">(CET) </w:t>
      </w:r>
      <w:r w:rsidRPr="00B946A7">
        <w:rPr>
          <w:rFonts w:ascii="Arial" w:hAnsi="Arial" w:cs="Arial"/>
          <w:sz w:val="24"/>
          <w:szCs w:val="24"/>
        </w:rPr>
        <w:t xml:space="preserve">colleges, the National Senior Certificate for Adults (NASCA) has been developed to address the needs of </w:t>
      </w:r>
      <w:r w:rsidRPr="00B946A7">
        <w:rPr>
          <w:rFonts w:ascii="Arial" w:hAnsi="Arial" w:cs="Arial"/>
          <w:sz w:val="24"/>
          <w:szCs w:val="24"/>
        </w:rPr>
        <w:br/>
        <w:t xml:space="preserve">out-of-school youth and adults who do not have </w:t>
      </w:r>
      <w:r w:rsidRPr="00C070E1">
        <w:rPr>
          <w:rFonts w:ascii="Arial" w:hAnsi="Arial" w:cs="Arial"/>
          <w:noProof/>
          <w:sz w:val="24"/>
          <w:szCs w:val="24"/>
        </w:rPr>
        <w:t>a</w:t>
      </w:r>
      <w:r w:rsidR="00C070E1">
        <w:rPr>
          <w:rFonts w:ascii="Arial" w:hAnsi="Arial" w:cs="Arial"/>
          <w:noProof/>
          <w:sz w:val="24"/>
          <w:szCs w:val="24"/>
        </w:rPr>
        <w:t>n</w:t>
      </w:r>
      <w:r w:rsidRPr="00C070E1">
        <w:rPr>
          <w:rFonts w:ascii="Arial" w:hAnsi="Arial" w:cs="Arial"/>
          <w:noProof/>
          <w:sz w:val="24"/>
          <w:szCs w:val="24"/>
        </w:rPr>
        <w:t xml:space="preserve"> </w:t>
      </w:r>
      <w:r w:rsidR="006549ED" w:rsidRPr="00C070E1">
        <w:rPr>
          <w:rFonts w:ascii="Arial" w:hAnsi="Arial" w:cs="Arial"/>
          <w:noProof/>
          <w:sz w:val="24"/>
          <w:szCs w:val="24"/>
        </w:rPr>
        <w:t>NSC</w:t>
      </w:r>
      <w:r w:rsidRPr="00B946A7">
        <w:rPr>
          <w:rFonts w:ascii="Arial" w:hAnsi="Arial" w:cs="Arial"/>
          <w:sz w:val="24"/>
          <w:szCs w:val="24"/>
        </w:rPr>
        <w:t xml:space="preserve">. Funding is not yet available to implement the NASCA. </w:t>
      </w:r>
      <w:r w:rsidR="00AC4066" w:rsidRPr="00AC4066">
        <w:rPr>
          <w:rFonts w:ascii="Arial" w:hAnsi="Arial" w:cs="Arial"/>
          <w:sz w:val="24"/>
          <w:szCs w:val="24"/>
        </w:rPr>
        <w:t xml:space="preserve">The </w:t>
      </w:r>
      <w:r w:rsidR="000A79E6">
        <w:rPr>
          <w:rFonts w:ascii="Arial" w:hAnsi="Arial" w:cs="Arial"/>
          <w:sz w:val="24"/>
          <w:szCs w:val="24"/>
        </w:rPr>
        <w:t>CET c</w:t>
      </w:r>
      <w:r w:rsidR="00AC4066" w:rsidRPr="00AC4066">
        <w:rPr>
          <w:rFonts w:ascii="Arial" w:hAnsi="Arial" w:cs="Arial"/>
          <w:sz w:val="24"/>
          <w:szCs w:val="24"/>
        </w:rPr>
        <w:t xml:space="preserve">olleges through </w:t>
      </w:r>
      <w:r w:rsidR="000A79E6">
        <w:rPr>
          <w:rFonts w:ascii="Arial" w:hAnsi="Arial" w:cs="Arial"/>
          <w:sz w:val="24"/>
          <w:szCs w:val="24"/>
        </w:rPr>
        <w:t>the</w:t>
      </w:r>
      <w:r w:rsidR="00304ED5">
        <w:rPr>
          <w:rFonts w:ascii="Arial" w:hAnsi="Arial" w:cs="Arial"/>
          <w:sz w:val="24"/>
          <w:szCs w:val="24"/>
        </w:rPr>
        <w:t>ir</w:t>
      </w:r>
      <w:r w:rsidR="000A79E6">
        <w:rPr>
          <w:rFonts w:ascii="Arial" w:hAnsi="Arial" w:cs="Arial"/>
          <w:sz w:val="24"/>
          <w:szCs w:val="24"/>
        </w:rPr>
        <w:t xml:space="preserve"> </w:t>
      </w:r>
      <w:r w:rsidR="00AC4066" w:rsidRPr="00AC4066">
        <w:rPr>
          <w:rFonts w:ascii="Arial" w:hAnsi="Arial" w:cs="Arial"/>
          <w:sz w:val="24"/>
          <w:szCs w:val="24"/>
        </w:rPr>
        <w:t>Community Learning Centres are the entities for provision to out-of-school youth and adults.</w:t>
      </w:r>
    </w:p>
    <w:p w14:paraId="4C18EF68" w14:textId="77777777" w:rsidR="00203D16" w:rsidRDefault="00E702A2" w:rsidP="00AC4066">
      <w:pPr>
        <w:pStyle w:val="ListParagraph"/>
        <w:spacing w:after="240" w:line="360" w:lineRule="auto"/>
        <w:ind w:left="851"/>
        <w:contextualSpacing w:val="0"/>
        <w:jc w:val="both"/>
        <w:rPr>
          <w:rFonts w:ascii="Arial" w:hAnsi="Arial" w:cs="Arial"/>
          <w:sz w:val="24"/>
          <w:szCs w:val="24"/>
        </w:rPr>
      </w:pPr>
      <w:r w:rsidRPr="00B946A7">
        <w:rPr>
          <w:rFonts w:ascii="Arial" w:hAnsi="Arial" w:cs="Arial"/>
          <w:sz w:val="24"/>
          <w:szCs w:val="24"/>
        </w:rPr>
        <w:t xml:space="preserve">Sector Education and Training Authorities </w:t>
      </w:r>
      <w:r w:rsidR="00DB449E" w:rsidRPr="00B946A7">
        <w:rPr>
          <w:rFonts w:ascii="Arial" w:hAnsi="Arial" w:cs="Arial"/>
          <w:sz w:val="24"/>
          <w:szCs w:val="24"/>
        </w:rPr>
        <w:t xml:space="preserve">fund various learning programmes such as skills programmes, </w:t>
      </w:r>
      <w:r w:rsidR="00DB449E" w:rsidRPr="00C070E1">
        <w:rPr>
          <w:rFonts w:ascii="Arial" w:hAnsi="Arial" w:cs="Arial"/>
          <w:noProof/>
          <w:sz w:val="24"/>
          <w:szCs w:val="24"/>
        </w:rPr>
        <w:t>learnerships</w:t>
      </w:r>
      <w:r w:rsidR="00DB449E" w:rsidRPr="00B946A7">
        <w:rPr>
          <w:rFonts w:ascii="Arial" w:hAnsi="Arial" w:cs="Arial"/>
          <w:sz w:val="24"/>
          <w:szCs w:val="24"/>
        </w:rPr>
        <w:t xml:space="preserve">, apprenticeships and other training programmes conducted in skills centres that </w:t>
      </w:r>
      <w:r w:rsidR="00DB449E" w:rsidRPr="00C070E1">
        <w:rPr>
          <w:rFonts w:ascii="Arial" w:hAnsi="Arial" w:cs="Arial"/>
          <w:noProof/>
          <w:sz w:val="24"/>
          <w:szCs w:val="24"/>
        </w:rPr>
        <w:t>cater</w:t>
      </w:r>
      <w:r w:rsidR="00DB449E" w:rsidRPr="00B946A7">
        <w:rPr>
          <w:rFonts w:ascii="Arial" w:hAnsi="Arial" w:cs="Arial"/>
          <w:sz w:val="24"/>
          <w:szCs w:val="24"/>
        </w:rPr>
        <w:t xml:space="preserve"> for everyone including those who leave school without </w:t>
      </w:r>
      <w:r w:rsidR="00C5283C">
        <w:rPr>
          <w:rFonts w:ascii="Arial" w:hAnsi="Arial" w:cs="Arial"/>
          <w:sz w:val="24"/>
          <w:szCs w:val="24"/>
        </w:rPr>
        <w:t>a</w:t>
      </w:r>
      <w:r w:rsidR="000A79E6">
        <w:rPr>
          <w:rFonts w:ascii="Arial" w:hAnsi="Arial" w:cs="Arial"/>
          <w:sz w:val="24"/>
          <w:szCs w:val="24"/>
        </w:rPr>
        <w:t>n</w:t>
      </w:r>
      <w:r w:rsidR="00C5283C">
        <w:rPr>
          <w:rFonts w:ascii="Arial" w:hAnsi="Arial" w:cs="Arial"/>
          <w:sz w:val="24"/>
          <w:szCs w:val="24"/>
        </w:rPr>
        <w:t xml:space="preserve"> </w:t>
      </w:r>
      <w:r w:rsidR="00DB449E" w:rsidRPr="00B946A7">
        <w:rPr>
          <w:rFonts w:ascii="Arial" w:hAnsi="Arial" w:cs="Arial"/>
          <w:sz w:val="24"/>
          <w:szCs w:val="24"/>
        </w:rPr>
        <w:t>NSC.</w:t>
      </w:r>
    </w:p>
    <w:p w14:paraId="73A54132" w14:textId="77777777" w:rsidR="00203D16" w:rsidRDefault="00203D16">
      <w:pPr>
        <w:spacing w:after="0" w:line="240" w:lineRule="auto"/>
        <w:rPr>
          <w:rFonts w:ascii="Arial" w:hAnsi="Arial" w:cs="Arial"/>
          <w:sz w:val="24"/>
          <w:szCs w:val="24"/>
        </w:rPr>
      </w:pPr>
      <w:r>
        <w:rPr>
          <w:rFonts w:ascii="Arial" w:hAnsi="Arial" w:cs="Arial"/>
          <w:sz w:val="24"/>
          <w:szCs w:val="24"/>
        </w:rPr>
        <w:br w:type="page"/>
      </w:r>
    </w:p>
    <w:p w14:paraId="25C301E5" w14:textId="77777777" w:rsidR="00AB39D1" w:rsidRPr="00B946A7" w:rsidRDefault="00AB39D1" w:rsidP="00AB39D1">
      <w:pPr>
        <w:pStyle w:val="ListParagraph"/>
        <w:numPr>
          <w:ilvl w:val="0"/>
          <w:numId w:val="25"/>
        </w:numPr>
        <w:tabs>
          <w:tab w:val="left" w:pos="426"/>
        </w:tabs>
        <w:spacing w:after="240" w:line="360" w:lineRule="auto"/>
        <w:ind w:left="851" w:hanging="851"/>
        <w:contextualSpacing w:val="0"/>
        <w:jc w:val="both"/>
        <w:rPr>
          <w:rFonts w:ascii="Arial" w:hAnsi="Arial" w:cs="Arial"/>
          <w:sz w:val="24"/>
          <w:szCs w:val="24"/>
        </w:rPr>
      </w:pPr>
      <w:r w:rsidRPr="00B946A7">
        <w:rPr>
          <w:rFonts w:ascii="Arial" w:hAnsi="Arial" w:cs="Arial"/>
          <w:sz w:val="24"/>
          <w:szCs w:val="24"/>
        </w:rPr>
        <w:lastRenderedPageBreak/>
        <w:t>(a)</w:t>
      </w:r>
      <w:r w:rsidRPr="00B946A7">
        <w:rPr>
          <w:rFonts w:ascii="Arial" w:hAnsi="Arial" w:cs="Arial"/>
          <w:sz w:val="24"/>
          <w:szCs w:val="24"/>
        </w:rPr>
        <w:tab/>
      </w:r>
      <w:r w:rsidR="008228F9" w:rsidRPr="00B946A7">
        <w:rPr>
          <w:rFonts w:ascii="Arial" w:hAnsi="Arial" w:cs="Arial"/>
          <w:sz w:val="24"/>
          <w:szCs w:val="24"/>
        </w:rPr>
        <w:t xml:space="preserve">TVET colleges </w:t>
      </w:r>
      <w:r w:rsidR="00CE068B" w:rsidRPr="00B946A7">
        <w:rPr>
          <w:rFonts w:ascii="Arial" w:hAnsi="Arial" w:cs="Arial"/>
          <w:sz w:val="24"/>
          <w:szCs w:val="24"/>
        </w:rPr>
        <w:t xml:space="preserve">currently offer the NC(V) </w:t>
      </w:r>
      <w:r w:rsidR="00D26C9A" w:rsidRPr="00B946A7">
        <w:rPr>
          <w:rFonts w:ascii="Arial" w:hAnsi="Arial" w:cs="Arial"/>
          <w:sz w:val="24"/>
          <w:szCs w:val="24"/>
        </w:rPr>
        <w:t>qualifications at</w:t>
      </w:r>
      <w:r w:rsidR="00CE068B" w:rsidRPr="00B946A7">
        <w:rPr>
          <w:rFonts w:ascii="Arial" w:hAnsi="Arial" w:cs="Arial"/>
          <w:sz w:val="24"/>
          <w:szCs w:val="24"/>
        </w:rPr>
        <w:t xml:space="preserve"> NQF level</w:t>
      </w:r>
      <w:r w:rsidR="00D26C9A" w:rsidRPr="00B946A7">
        <w:rPr>
          <w:rFonts w:ascii="Arial" w:hAnsi="Arial" w:cs="Arial"/>
          <w:sz w:val="24"/>
          <w:szCs w:val="24"/>
        </w:rPr>
        <w:t>s</w:t>
      </w:r>
      <w:r w:rsidR="00CE068B" w:rsidRPr="00B946A7">
        <w:rPr>
          <w:rFonts w:ascii="Arial" w:hAnsi="Arial" w:cs="Arial"/>
          <w:sz w:val="24"/>
          <w:szCs w:val="24"/>
        </w:rPr>
        <w:t xml:space="preserve"> 2</w:t>
      </w:r>
      <w:r w:rsidR="00304ED5">
        <w:rPr>
          <w:rFonts w:ascii="Arial" w:hAnsi="Arial" w:cs="Arial"/>
          <w:sz w:val="24"/>
          <w:szCs w:val="24"/>
        </w:rPr>
        <w:t xml:space="preserve"> </w:t>
      </w:r>
      <w:r w:rsidR="00CE068B" w:rsidRPr="00B946A7">
        <w:rPr>
          <w:rFonts w:ascii="Arial" w:hAnsi="Arial" w:cs="Arial"/>
          <w:sz w:val="24"/>
          <w:szCs w:val="24"/>
        </w:rPr>
        <w:t>-</w:t>
      </w:r>
      <w:r w:rsidR="00304ED5">
        <w:rPr>
          <w:rFonts w:ascii="Arial" w:hAnsi="Arial" w:cs="Arial"/>
          <w:sz w:val="24"/>
          <w:szCs w:val="24"/>
        </w:rPr>
        <w:t xml:space="preserve"> </w:t>
      </w:r>
      <w:r w:rsidR="00CE068B" w:rsidRPr="00B946A7">
        <w:rPr>
          <w:rFonts w:ascii="Arial" w:hAnsi="Arial" w:cs="Arial"/>
          <w:sz w:val="24"/>
          <w:szCs w:val="24"/>
        </w:rPr>
        <w:t xml:space="preserve">4, and </w:t>
      </w:r>
      <w:r w:rsidR="00D26C9A" w:rsidRPr="00B946A7">
        <w:rPr>
          <w:rFonts w:ascii="Arial" w:hAnsi="Arial" w:cs="Arial"/>
          <w:sz w:val="24"/>
          <w:szCs w:val="24"/>
        </w:rPr>
        <w:t xml:space="preserve">the </w:t>
      </w:r>
      <w:r w:rsidR="00CE068B" w:rsidRPr="00B946A7">
        <w:rPr>
          <w:rFonts w:ascii="Arial" w:hAnsi="Arial" w:cs="Arial"/>
          <w:sz w:val="24"/>
          <w:szCs w:val="24"/>
        </w:rPr>
        <w:t>N1</w:t>
      </w:r>
      <w:r w:rsidR="00304ED5">
        <w:rPr>
          <w:rFonts w:ascii="Arial" w:hAnsi="Arial" w:cs="Arial"/>
          <w:sz w:val="24"/>
          <w:szCs w:val="24"/>
        </w:rPr>
        <w:t xml:space="preserve"> </w:t>
      </w:r>
      <w:r w:rsidR="00CE068B" w:rsidRPr="00B946A7">
        <w:rPr>
          <w:rFonts w:ascii="Arial" w:hAnsi="Arial" w:cs="Arial"/>
          <w:sz w:val="24"/>
          <w:szCs w:val="24"/>
        </w:rPr>
        <w:t>-</w:t>
      </w:r>
      <w:r w:rsidR="00304ED5">
        <w:rPr>
          <w:rFonts w:ascii="Arial" w:hAnsi="Arial" w:cs="Arial"/>
          <w:sz w:val="24"/>
          <w:szCs w:val="24"/>
        </w:rPr>
        <w:t xml:space="preserve"> </w:t>
      </w:r>
      <w:r w:rsidR="00CE068B" w:rsidRPr="00B946A7">
        <w:rPr>
          <w:rFonts w:ascii="Arial" w:hAnsi="Arial" w:cs="Arial"/>
          <w:sz w:val="24"/>
          <w:szCs w:val="24"/>
        </w:rPr>
        <w:t xml:space="preserve">N3 </w:t>
      </w:r>
      <w:r w:rsidR="00D26C9A" w:rsidRPr="00B946A7">
        <w:rPr>
          <w:rFonts w:ascii="Arial" w:hAnsi="Arial" w:cs="Arial"/>
          <w:sz w:val="24"/>
          <w:szCs w:val="24"/>
        </w:rPr>
        <w:t xml:space="preserve">Report 191 programmes </w:t>
      </w:r>
      <w:r w:rsidR="00CE068B" w:rsidRPr="00B946A7">
        <w:rPr>
          <w:rFonts w:ascii="Arial" w:hAnsi="Arial" w:cs="Arial"/>
          <w:sz w:val="24"/>
          <w:szCs w:val="24"/>
        </w:rPr>
        <w:t xml:space="preserve">at the </w:t>
      </w:r>
      <w:r w:rsidR="00D26C9A" w:rsidRPr="00B946A7">
        <w:rPr>
          <w:rFonts w:ascii="Arial" w:hAnsi="Arial" w:cs="Arial"/>
          <w:sz w:val="24"/>
          <w:szCs w:val="24"/>
        </w:rPr>
        <w:t>same</w:t>
      </w:r>
      <w:r w:rsidR="00F94B73" w:rsidRPr="00B946A7">
        <w:rPr>
          <w:rFonts w:ascii="Arial" w:hAnsi="Arial" w:cs="Arial"/>
          <w:sz w:val="24"/>
          <w:szCs w:val="24"/>
        </w:rPr>
        <w:t xml:space="preserve"> levels. </w:t>
      </w:r>
      <w:r w:rsidR="00D26C9A" w:rsidRPr="00B946A7">
        <w:rPr>
          <w:rFonts w:ascii="Arial" w:hAnsi="Arial" w:cs="Arial"/>
          <w:sz w:val="24"/>
          <w:szCs w:val="24"/>
        </w:rPr>
        <w:t>The Report 191 programmes, also commonly refe</w:t>
      </w:r>
      <w:r w:rsidR="000A79E6">
        <w:rPr>
          <w:rFonts w:ascii="Arial" w:hAnsi="Arial" w:cs="Arial"/>
          <w:sz w:val="24"/>
          <w:szCs w:val="24"/>
        </w:rPr>
        <w:t>rred to as the NATED programmes</w:t>
      </w:r>
      <w:r w:rsidR="00304ED5">
        <w:rPr>
          <w:rFonts w:ascii="Arial" w:hAnsi="Arial" w:cs="Arial"/>
          <w:sz w:val="24"/>
          <w:szCs w:val="24"/>
        </w:rPr>
        <w:t xml:space="preserve">, </w:t>
      </w:r>
      <w:r w:rsidR="00D26C9A" w:rsidRPr="00B946A7">
        <w:rPr>
          <w:rFonts w:ascii="Arial" w:hAnsi="Arial" w:cs="Arial"/>
          <w:sz w:val="24"/>
          <w:szCs w:val="24"/>
        </w:rPr>
        <w:t xml:space="preserve">do not </w:t>
      </w:r>
      <w:r w:rsidR="008F5418" w:rsidRPr="00B946A7">
        <w:rPr>
          <w:rFonts w:ascii="Arial" w:hAnsi="Arial" w:cs="Arial"/>
          <w:sz w:val="24"/>
          <w:szCs w:val="24"/>
        </w:rPr>
        <w:t>constitute</w:t>
      </w:r>
      <w:r w:rsidR="00D26C9A" w:rsidRPr="00B946A7">
        <w:rPr>
          <w:rFonts w:ascii="Arial" w:hAnsi="Arial" w:cs="Arial"/>
          <w:sz w:val="24"/>
          <w:szCs w:val="24"/>
        </w:rPr>
        <w:t xml:space="preserve"> a qualification </w:t>
      </w:r>
      <w:r w:rsidR="00833D13" w:rsidRPr="00B946A7">
        <w:rPr>
          <w:rFonts w:ascii="Arial" w:hAnsi="Arial" w:cs="Arial"/>
          <w:sz w:val="24"/>
          <w:szCs w:val="24"/>
        </w:rPr>
        <w:t xml:space="preserve">unless </w:t>
      </w:r>
      <w:r w:rsidR="000A79E6">
        <w:rPr>
          <w:rFonts w:ascii="Arial" w:hAnsi="Arial" w:cs="Arial"/>
          <w:sz w:val="24"/>
          <w:szCs w:val="24"/>
        </w:rPr>
        <w:t>the two languages of</w:t>
      </w:r>
      <w:r w:rsidR="008F5418" w:rsidRPr="00B946A7">
        <w:rPr>
          <w:rFonts w:ascii="Arial" w:hAnsi="Arial" w:cs="Arial"/>
          <w:sz w:val="24"/>
          <w:szCs w:val="24"/>
        </w:rPr>
        <w:t xml:space="preserve"> Busi</w:t>
      </w:r>
      <w:r w:rsidRPr="00B946A7">
        <w:rPr>
          <w:rFonts w:ascii="Arial" w:hAnsi="Arial" w:cs="Arial"/>
          <w:sz w:val="24"/>
          <w:szCs w:val="24"/>
        </w:rPr>
        <w:t>ness English and Sake Afrikaans</w:t>
      </w:r>
      <w:r w:rsidR="008F5418" w:rsidRPr="00B946A7">
        <w:rPr>
          <w:rFonts w:ascii="Arial" w:hAnsi="Arial" w:cs="Arial"/>
          <w:sz w:val="24"/>
          <w:szCs w:val="24"/>
        </w:rPr>
        <w:t xml:space="preserve"> are also passed</w:t>
      </w:r>
      <w:r w:rsidR="00833D13" w:rsidRPr="00B946A7">
        <w:rPr>
          <w:rFonts w:ascii="Arial" w:hAnsi="Arial" w:cs="Arial"/>
          <w:sz w:val="24"/>
          <w:szCs w:val="24"/>
        </w:rPr>
        <w:t>. The addition of the</w:t>
      </w:r>
      <w:r w:rsidR="000A79E6">
        <w:rPr>
          <w:rFonts w:ascii="Arial" w:hAnsi="Arial" w:cs="Arial"/>
          <w:sz w:val="24"/>
          <w:szCs w:val="24"/>
        </w:rPr>
        <w:t>se</w:t>
      </w:r>
      <w:r w:rsidR="00833D13" w:rsidRPr="00B946A7">
        <w:rPr>
          <w:rFonts w:ascii="Arial" w:hAnsi="Arial" w:cs="Arial"/>
          <w:sz w:val="24"/>
          <w:szCs w:val="24"/>
        </w:rPr>
        <w:t xml:space="preserve"> two languages culminates</w:t>
      </w:r>
      <w:r w:rsidR="008F5418" w:rsidRPr="00B946A7">
        <w:rPr>
          <w:rFonts w:ascii="Arial" w:hAnsi="Arial" w:cs="Arial"/>
          <w:sz w:val="24"/>
          <w:szCs w:val="24"/>
        </w:rPr>
        <w:t xml:space="preserve"> in the </w:t>
      </w:r>
      <w:r w:rsidR="00304ED5">
        <w:rPr>
          <w:rFonts w:ascii="Arial" w:hAnsi="Arial" w:cs="Arial"/>
          <w:sz w:val="24"/>
          <w:szCs w:val="24"/>
        </w:rPr>
        <w:t xml:space="preserve">achievement of </w:t>
      </w:r>
      <w:r w:rsidR="00304ED5" w:rsidRPr="00C070E1">
        <w:rPr>
          <w:rFonts w:ascii="Arial" w:hAnsi="Arial" w:cs="Arial"/>
          <w:noProof/>
          <w:sz w:val="24"/>
          <w:szCs w:val="24"/>
        </w:rPr>
        <w:t>a</w:t>
      </w:r>
      <w:r w:rsidR="00C070E1">
        <w:rPr>
          <w:rFonts w:ascii="Arial" w:hAnsi="Arial" w:cs="Arial"/>
          <w:noProof/>
          <w:sz w:val="24"/>
          <w:szCs w:val="24"/>
        </w:rPr>
        <w:t>n</w:t>
      </w:r>
      <w:r w:rsidR="00833D13" w:rsidRPr="00C070E1">
        <w:rPr>
          <w:rFonts w:ascii="Arial" w:hAnsi="Arial" w:cs="Arial"/>
          <w:noProof/>
          <w:sz w:val="24"/>
          <w:szCs w:val="24"/>
        </w:rPr>
        <w:t xml:space="preserve"> </w:t>
      </w:r>
      <w:r w:rsidR="00304ED5" w:rsidRPr="00C070E1">
        <w:rPr>
          <w:rFonts w:ascii="Arial" w:hAnsi="Arial" w:cs="Arial"/>
          <w:noProof/>
          <w:sz w:val="24"/>
          <w:szCs w:val="24"/>
        </w:rPr>
        <w:t>NSC</w:t>
      </w:r>
      <w:r w:rsidR="009F076A" w:rsidRPr="00B946A7">
        <w:rPr>
          <w:rFonts w:ascii="Arial" w:hAnsi="Arial" w:cs="Arial"/>
          <w:sz w:val="24"/>
          <w:szCs w:val="24"/>
        </w:rPr>
        <w:t>, but</w:t>
      </w:r>
      <w:r w:rsidR="008F5418" w:rsidRPr="00B946A7">
        <w:rPr>
          <w:rFonts w:ascii="Arial" w:hAnsi="Arial" w:cs="Arial"/>
          <w:sz w:val="24"/>
          <w:szCs w:val="24"/>
        </w:rPr>
        <w:t xml:space="preserve"> </w:t>
      </w:r>
      <w:r w:rsidR="000A79E6">
        <w:rPr>
          <w:rFonts w:ascii="Arial" w:hAnsi="Arial" w:cs="Arial"/>
          <w:sz w:val="24"/>
          <w:szCs w:val="24"/>
        </w:rPr>
        <w:t xml:space="preserve">it </w:t>
      </w:r>
      <w:r w:rsidR="008F5418" w:rsidRPr="00B946A7">
        <w:rPr>
          <w:rFonts w:ascii="Arial" w:hAnsi="Arial" w:cs="Arial"/>
          <w:sz w:val="24"/>
          <w:szCs w:val="24"/>
        </w:rPr>
        <w:t xml:space="preserve">is </w:t>
      </w:r>
      <w:r w:rsidR="009F076A" w:rsidRPr="00B946A7">
        <w:rPr>
          <w:rFonts w:ascii="Arial" w:hAnsi="Arial" w:cs="Arial"/>
          <w:sz w:val="24"/>
          <w:szCs w:val="24"/>
        </w:rPr>
        <w:t xml:space="preserve">a </w:t>
      </w:r>
      <w:r w:rsidR="008F5418" w:rsidRPr="00B946A7">
        <w:rPr>
          <w:rFonts w:ascii="Arial" w:hAnsi="Arial" w:cs="Arial"/>
          <w:sz w:val="24"/>
          <w:szCs w:val="24"/>
        </w:rPr>
        <w:t xml:space="preserve">different </w:t>
      </w:r>
      <w:r w:rsidR="009F076A" w:rsidRPr="00B946A7">
        <w:rPr>
          <w:rFonts w:ascii="Arial" w:hAnsi="Arial" w:cs="Arial"/>
          <w:sz w:val="24"/>
          <w:szCs w:val="24"/>
        </w:rPr>
        <w:t xml:space="preserve">qualification </w:t>
      </w:r>
      <w:r w:rsidR="008F5418" w:rsidRPr="00B946A7">
        <w:rPr>
          <w:rFonts w:ascii="Arial" w:hAnsi="Arial" w:cs="Arial"/>
          <w:sz w:val="24"/>
          <w:szCs w:val="24"/>
        </w:rPr>
        <w:t>from the NSC offered in Basic Education</w:t>
      </w:r>
      <w:r w:rsidR="000A79E6">
        <w:rPr>
          <w:rFonts w:ascii="Arial" w:hAnsi="Arial" w:cs="Arial"/>
          <w:sz w:val="24"/>
          <w:szCs w:val="24"/>
        </w:rPr>
        <w:t>. The NSC in TVET c</w:t>
      </w:r>
      <w:r w:rsidR="00833D13" w:rsidRPr="00B946A7">
        <w:rPr>
          <w:rFonts w:ascii="Arial" w:hAnsi="Arial" w:cs="Arial"/>
          <w:sz w:val="24"/>
          <w:szCs w:val="24"/>
        </w:rPr>
        <w:t>olleges, which has its origins in the former Technical Colleges</w:t>
      </w:r>
      <w:r w:rsidR="008F5418" w:rsidRPr="00B946A7">
        <w:rPr>
          <w:rFonts w:ascii="Arial" w:hAnsi="Arial" w:cs="Arial"/>
          <w:sz w:val="24"/>
          <w:szCs w:val="24"/>
        </w:rPr>
        <w:t xml:space="preserve">, </w:t>
      </w:r>
      <w:r w:rsidR="00833D13" w:rsidRPr="00B946A7">
        <w:rPr>
          <w:rFonts w:ascii="Arial" w:hAnsi="Arial" w:cs="Arial"/>
          <w:sz w:val="24"/>
          <w:szCs w:val="24"/>
        </w:rPr>
        <w:t>d</w:t>
      </w:r>
      <w:r w:rsidR="008F5418" w:rsidRPr="00B946A7">
        <w:rPr>
          <w:rFonts w:ascii="Arial" w:hAnsi="Arial" w:cs="Arial"/>
          <w:sz w:val="24"/>
          <w:szCs w:val="24"/>
        </w:rPr>
        <w:t>id not allow students to directly access higher education programmes</w:t>
      </w:r>
      <w:r w:rsidR="00833D13" w:rsidRPr="00B946A7">
        <w:rPr>
          <w:rFonts w:ascii="Arial" w:hAnsi="Arial" w:cs="Arial"/>
          <w:sz w:val="24"/>
          <w:szCs w:val="24"/>
        </w:rPr>
        <w:t xml:space="preserve">, and was loosely considered </w:t>
      </w:r>
      <w:r w:rsidR="000A79E6">
        <w:rPr>
          <w:rFonts w:ascii="Arial" w:hAnsi="Arial" w:cs="Arial"/>
          <w:sz w:val="24"/>
          <w:szCs w:val="24"/>
        </w:rPr>
        <w:t>as a pass on the</w:t>
      </w:r>
      <w:r w:rsidR="00833D13" w:rsidRPr="00B946A7">
        <w:rPr>
          <w:rFonts w:ascii="Arial" w:hAnsi="Arial" w:cs="Arial"/>
          <w:sz w:val="24"/>
          <w:szCs w:val="24"/>
        </w:rPr>
        <w:t xml:space="preserve"> “standard”</w:t>
      </w:r>
      <w:r w:rsidR="009F076A" w:rsidRPr="00B946A7">
        <w:rPr>
          <w:rFonts w:ascii="Arial" w:hAnsi="Arial" w:cs="Arial"/>
          <w:sz w:val="24"/>
          <w:szCs w:val="24"/>
        </w:rPr>
        <w:t xml:space="preserve"> grade</w:t>
      </w:r>
      <w:r w:rsidR="00833D13" w:rsidRPr="00B946A7">
        <w:rPr>
          <w:rFonts w:ascii="Arial" w:hAnsi="Arial" w:cs="Arial"/>
          <w:sz w:val="24"/>
          <w:szCs w:val="24"/>
        </w:rPr>
        <w:t>, in accordance with the higher, standard and lower grade passes applied at the senior secondary level at the time</w:t>
      </w:r>
      <w:r w:rsidR="008F5418" w:rsidRPr="00B946A7">
        <w:rPr>
          <w:rFonts w:ascii="Arial" w:hAnsi="Arial" w:cs="Arial"/>
          <w:sz w:val="24"/>
          <w:szCs w:val="24"/>
        </w:rPr>
        <w:t>.</w:t>
      </w:r>
      <w:r w:rsidR="001E24AA" w:rsidRPr="00B946A7">
        <w:rPr>
          <w:rFonts w:ascii="Arial" w:hAnsi="Arial" w:cs="Arial"/>
          <w:sz w:val="24"/>
          <w:szCs w:val="24"/>
        </w:rPr>
        <w:t xml:space="preserve"> Student numbers in the TVET NSC have dwindled, since the </w:t>
      </w:r>
      <w:r w:rsidR="000A79E6">
        <w:rPr>
          <w:rFonts w:ascii="Arial" w:hAnsi="Arial" w:cs="Arial"/>
          <w:sz w:val="24"/>
          <w:szCs w:val="24"/>
        </w:rPr>
        <w:t xml:space="preserve">Department of </w:t>
      </w:r>
      <w:r w:rsidR="001E24AA" w:rsidRPr="00B946A7">
        <w:rPr>
          <w:rFonts w:ascii="Arial" w:hAnsi="Arial" w:cs="Arial"/>
          <w:sz w:val="24"/>
          <w:szCs w:val="24"/>
        </w:rPr>
        <w:t>Basic Education no longer allows for</w:t>
      </w:r>
      <w:r w:rsidR="0010247D">
        <w:rPr>
          <w:rFonts w:ascii="Arial" w:hAnsi="Arial" w:cs="Arial"/>
          <w:sz w:val="24"/>
          <w:szCs w:val="24"/>
        </w:rPr>
        <w:t xml:space="preserve"> the </w:t>
      </w:r>
      <w:r w:rsidR="001E24AA" w:rsidRPr="00B946A7">
        <w:rPr>
          <w:rFonts w:ascii="Arial" w:hAnsi="Arial" w:cs="Arial"/>
          <w:sz w:val="24"/>
          <w:szCs w:val="24"/>
        </w:rPr>
        <w:t>combination</w:t>
      </w:r>
      <w:r w:rsidR="000A79E6">
        <w:rPr>
          <w:rFonts w:ascii="Arial" w:hAnsi="Arial" w:cs="Arial"/>
          <w:sz w:val="24"/>
          <w:szCs w:val="24"/>
        </w:rPr>
        <w:t xml:space="preserve"> of the N1</w:t>
      </w:r>
      <w:r w:rsidR="0010247D">
        <w:rPr>
          <w:rFonts w:ascii="Arial" w:hAnsi="Arial" w:cs="Arial"/>
          <w:sz w:val="24"/>
          <w:szCs w:val="24"/>
        </w:rPr>
        <w:t xml:space="preserve"> </w:t>
      </w:r>
      <w:r w:rsidR="000A79E6">
        <w:rPr>
          <w:rFonts w:ascii="Arial" w:hAnsi="Arial" w:cs="Arial"/>
          <w:sz w:val="24"/>
          <w:szCs w:val="24"/>
        </w:rPr>
        <w:t>-</w:t>
      </w:r>
      <w:r w:rsidR="0010247D">
        <w:rPr>
          <w:rFonts w:ascii="Arial" w:hAnsi="Arial" w:cs="Arial"/>
          <w:sz w:val="24"/>
          <w:szCs w:val="24"/>
        </w:rPr>
        <w:t xml:space="preserve"> N3 subjects with the</w:t>
      </w:r>
      <w:r w:rsidR="000A79E6">
        <w:rPr>
          <w:rFonts w:ascii="Arial" w:hAnsi="Arial" w:cs="Arial"/>
          <w:sz w:val="24"/>
          <w:szCs w:val="24"/>
        </w:rPr>
        <w:t xml:space="preserve"> </w:t>
      </w:r>
      <w:r w:rsidR="001E24AA" w:rsidRPr="00B946A7">
        <w:rPr>
          <w:rFonts w:ascii="Arial" w:hAnsi="Arial" w:cs="Arial"/>
          <w:sz w:val="24"/>
          <w:szCs w:val="24"/>
        </w:rPr>
        <w:t>current NSC subjects offered in schools, to award the NSC (matric)</w:t>
      </w:r>
      <w:r w:rsidR="009F076A" w:rsidRPr="00B946A7">
        <w:rPr>
          <w:rFonts w:ascii="Arial" w:hAnsi="Arial" w:cs="Arial"/>
          <w:sz w:val="24"/>
          <w:szCs w:val="24"/>
        </w:rPr>
        <w:t xml:space="preserve"> qualification at NQF level 4</w:t>
      </w:r>
      <w:r w:rsidRPr="00B946A7">
        <w:rPr>
          <w:rFonts w:ascii="Arial" w:hAnsi="Arial" w:cs="Arial"/>
          <w:sz w:val="24"/>
          <w:szCs w:val="24"/>
        </w:rPr>
        <w:t xml:space="preserve">. </w:t>
      </w:r>
    </w:p>
    <w:p w14:paraId="452C62DE" w14:textId="77777777" w:rsidR="001E24AA" w:rsidRPr="00B946A7" w:rsidRDefault="001E24AA" w:rsidP="00AB39D1">
      <w:pPr>
        <w:pStyle w:val="ListParagraph"/>
        <w:spacing w:after="240" w:line="360" w:lineRule="auto"/>
        <w:ind w:left="851"/>
        <w:contextualSpacing w:val="0"/>
        <w:jc w:val="both"/>
        <w:rPr>
          <w:rFonts w:ascii="Arial" w:hAnsi="Arial" w:cs="Arial"/>
          <w:sz w:val="24"/>
          <w:szCs w:val="24"/>
        </w:rPr>
      </w:pPr>
      <w:r w:rsidRPr="00B946A7">
        <w:rPr>
          <w:rFonts w:ascii="Arial" w:hAnsi="Arial" w:cs="Arial"/>
          <w:sz w:val="24"/>
          <w:szCs w:val="24"/>
        </w:rPr>
        <w:t xml:space="preserve">State funding for TVET college students will increase </w:t>
      </w:r>
      <w:r w:rsidR="00AB39D1" w:rsidRPr="00B946A7">
        <w:rPr>
          <w:rFonts w:ascii="Arial" w:hAnsi="Arial" w:cs="Arial"/>
          <w:sz w:val="24"/>
          <w:szCs w:val="24"/>
        </w:rPr>
        <w:t xml:space="preserve">gradually over the next 4 to </w:t>
      </w:r>
      <w:r w:rsidRPr="00B946A7">
        <w:rPr>
          <w:rFonts w:ascii="Arial" w:hAnsi="Arial" w:cs="Arial"/>
          <w:sz w:val="24"/>
          <w:szCs w:val="24"/>
        </w:rPr>
        <w:t>5 years, whilst the new increased baseline funding is introduced in</w:t>
      </w:r>
      <w:r w:rsidR="000A79E6">
        <w:rPr>
          <w:rFonts w:ascii="Arial" w:hAnsi="Arial" w:cs="Arial"/>
          <w:sz w:val="24"/>
          <w:szCs w:val="24"/>
        </w:rPr>
        <w:t>to</w:t>
      </w:r>
      <w:r w:rsidRPr="00B946A7">
        <w:rPr>
          <w:rFonts w:ascii="Arial" w:hAnsi="Arial" w:cs="Arial"/>
          <w:sz w:val="24"/>
          <w:szCs w:val="24"/>
        </w:rPr>
        <w:t xml:space="preserve"> the system. All students enrolled in a TVET college, with a combined family income of up to </w:t>
      </w:r>
      <w:r w:rsidR="00AB39D1" w:rsidRPr="00B946A7">
        <w:rPr>
          <w:rFonts w:ascii="Arial" w:hAnsi="Arial" w:cs="Arial"/>
          <w:sz w:val="24"/>
          <w:szCs w:val="24"/>
        </w:rPr>
        <w:br/>
      </w:r>
      <w:r w:rsidRPr="00B946A7">
        <w:rPr>
          <w:rFonts w:ascii="Arial" w:hAnsi="Arial" w:cs="Arial"/>
          <w:sz w:val="24"/>
          <w:szCs w:val="24"/>
        </w:rPr>
        <w:t xml:space="preserve">R350 000, will </w:t>
      </w:r>
      <w:r w:rsidR="00304ED5">
        <w:rPr>
          <w:rFonts w:ascii="Arial" w:hAnsi="Arial" w:cs="Arial"/>
          <w:sz w:val="24"/>
          <w:szCs w:val="24"/>
        </w:rPr>
        <w:t>receive a bursary</w:t>
      </w:r>
      <w:r w:rsidRPr="00B946A7">
        <w:rPr>
          <w:rFonts w:ascii="Arial" w:hAnsi="Arial" w:cs="Arial"/>
          <w:sz w:val="24"/>
          <w:szCs w:val="24"/>
        </w:rPr>
        <w:t xml:space="preserve">. NC(V) </w:t>
      </w:r>
      <w:r w:rsidR="00A04427" w:rsidRPr="00B946A7">
        <w:rPr>
          <w:rFonts w:ascii="Arial" w:hAnsi="Arial" w:cs="Arial"/>
          <w:sz w:val="24"/>
          <w:szCs w:val="24"/>
        </w:rPr>
        <w:t>students,</w:t>
      </w:r>
      <w:r w:rsidRPr="00B946A7">
        <w:rPr>
          <w:rFonts w:ascii="Arial" w:hAnsi="Arial" w:cs="Arial"/>
          <w:sz w:val="24"/>
          <w:szCs w:val="24"/>
        </w:rPr>
        <w:t xml:space="preserve"> who meet the admission criteria of the college, can apply to enrol, in order to achieve the equivalent of the NSC offered in schools. The exact number of such enrolments in future cannot be clearly determined at this stage</w:t>
      </w:r>
      <w:r w:rsidR="00C37245" w:rsidRPr="00B946A7">
        <w:rPr>
          <w:rFonts w:ascii="Arial" w:hAnsi="Arial" w:cs="Arial"/>
          <w:sz w:val="24"/>
          <w:szCs w:val="24"/>
        </w:rPr>
        <w:t>. The NC(V) e</w:t>
      </w:r>
      <w:r w:rsidRPr="00B946A7">
        <w:rPr>
          <w:rFonts w:ascii="Arial" w:hAnsi="Arial" w:cs="Arial"/>
          <w:sz w:val="24"/>
          <w:szCs w:val="24"/>
        </w:rPr>
        <w:t>nrolment</w:t>
      </w:r>
      <w:r w:rsidR="00C37245" w:rsidRPr="00B946A7">
        <w:rPr>
          <w:rFonts w:ascii="Arial" w:hAnsi="Arial" w:cs="Arial"/>
          <w:sz w:val="24"/>
          <w:szCs w:val="24"/>
        </w:rPr>
        <w:t xml:space="preserve">s for 2018 is </w:t>
      </w:r>
      <w:r w:rsidRPr="00A05B4B">
        <w:rPr>
          <w:rFonts w:ascii="Arial" w:hAnsi="Arial" w:cs="Arial"/>
          <w:sz w:val="24"/>
          <w:szCs w:val="24"/>
        </w:rPr>
        <w:t>134 925</w:t>
      </w:r>
      <w:r w:rsidR="00C37245" w:rsidRPr="00A05B4B">
        <w:rPr>
          <w:rFonts w:ascii="Arial" w:hAnsi="Arial" w:cs="Arial"/>
          <w:sz w:val="24"/>
          <w:szCs w:val="24"/>
        </w:rPr>
        <w:t>.</w:t>
      </w:r>
      <w:r w:rsidR="00C37245" w:rsidRPr="00C5283C">
        <w:rPr>
          <w:rFonts w:ascii="Arial" w:hAnsi="Arial" w:cs="Arial"/>
          <w:color w:val="FF0000"/>
          <w:sz w:val="24"/>
          <w:szCs w:val="24"/>
        </w:rPr>
        <w:t xml:space="preserve"> </w:t>
      </w:r>
      <w:r w:rsidR="00C37245" w:rsidRPr="00B946A7">
        <w:rPr>
          <w:rFonts w:ascii="Arial" w:hAnsi="Arial" w:cs="Arial"/>
          <w:sz w:val="24"/>
          <w:szCs w:val="24"/>
        </w:rPr>
        <w:t>Should the demand remain, this figure c</w:t>
      </w:r>
      <w:r w:rsidR="00AB39D1" w:rsidRPr="00B946A7">
        <w:rPr>
          <w:rFonts w:ascii="Arial" w:hAnsi="Arial" w:cs="Arial"/>
          <w:sz w:val="24"/>
          <w:szCs w:val="24"/>
        </w:rPr>
        <w:t xml:space="preserve">an be maintained for the next 4 to </w:t>
      </w:r>
      <w:r w:rsidR="00C37245" w:rsidRPr="00B946A7">
        <w:rPr>
          <w:rFonts w:ascii="Arial" w:hAnsi="Arial" w:cs="Arial"/>
          <w:sz w:val="24"/>
          <w:szCs w:val="24"/>
        </w:rPr>
        <w:t>5 years.</w:t>
      </w:r>
    </w:p>
    <w:p w14:paraId="52D9ACB9" w14:textId="77777777" w:rsidR="00AB39D1" w:rsidRPr="00B946A7" w:rsidRDefault="00AB39D1" w:rsidP="007477E0">
      <w:pPr>
        <w:spacing w:after="120" w:line="360" w:lineRule="auto"/>
        <w:ind w:left="851" w:hanging="425"/>
        <w:jc w:val="both"/>
        <w:rPr>
          <w:rFonts w:ascii="Arial" w:hAnsi="Arial" w:cs="Arial"/>
          <w:sz w:val="24"/>
          <w:szCs w:val="24"/>
        </w:rPr>
      </w:pPr>
      <w:r w:rsidRPr="00B946A7">
        <w:rPr>
          <w:rFonts w:ascii="Arial" w:hAnsi="Arial" w:cs="Arial"/>
          <w:sz w:val="24"/>
          <w:szCs w:val="24"/>
        </w:rPr>
        <w:t>(b)</w:t>
      </w:r>
      <w:r w:rsidRPr="00B946A7">
        <w:rPr>
          <w:rFonts w:ascii="Arial" w:hAnsi="Arial" w:cs="Arial"/>
          <w:sz w:val="24"/>
          <w:szCs w:val="24"/>
        </w:rPr>
        <w:tab/>
        <w:t>The Department funds all the students that are enrolled in Communit</w:t>
      </w:r>
      <w:r w:rsidR="00304ED5">
        <w:rPr>
          <w:rFonts w:ascii="Arial" w:hAnsi="Arial" w:cs="Arial"/>
          <w:sz w:val="24"/>
          <w:szCs w:val="24"/>
        </w:rPr>
        <w:t>y Education and Training (CET) c</w:t>
      </w:r>
      <w:r w:rsidRPr="00B946A7">
        <w:rPr>
          <w:rFonts w:ascii="Arial" w:hAnsi="Arial" w:cs="Arial"/>
          <w:sz w:val="24"/>
          <w:szCs w:val="24"/>
        </w:rPr>
        <w:t xml:space="preserve">olleges for </w:t>
      </w:r>
      <w:r w:rsidR="00304ED5">
        <w:rPr>
          <w:rFonts w:ascii="Arial" w:hAnsi="Arial" w:cs="Arial"/>
          <w:sz w:val="24"/>
          <w:szCs w:val="24"/>
        </w:rPr>
        <w:t>formal programmes at NQF l</w:t>
      </w:r>
      <w:r w:rsidRPr="00B946A7">
        <w:rPr>
          <w:rFonts w:ascii="Arial" w:hAnsi="Arial" w:cs="Arial"/>
          <w:sz w:val="24"/>
          <w:szCs w:val="24"/>
        </w:rPr>
        <w:t>evel 1. The envisaged numbers of enrolments are as follows:</w:t>
      </w:r>
    </w:p>
    <w:tbl>
      <w:tblPr>
        <w:tblStyle w:val="TableGrid"/>
        <w:tblW w:w="0" w:type="auto"/>
        <w:tblInd w:w="851" w:type="dxa"/>
        <w:tblLook w:val="04A0" w:firstRow="1" w:lastRow="0" w:firstColumn="1" w:lastColumn="0" w:noHBand="0" w:noVBand="1"/>
      </w:tblPr>
      <w:tblGrid>
        <w:gridCol w:w="2972"/>
        <w:gridCol w:w="3185"/>
      </w:tblGrid>
      <w:tr w:rsidR="00B946A7" w:rsidRPr="00B946A7" w14:paraId="71C94E34" w14:textId="77777777" w:rsidTr="00AB39D1">
        <w:tc>
          <w:tcPr>
            <w:tcW w:w="2972" w:type="dxa"/>
          </w:tcPr>
          <w:p w14:paraId="03C41964" w14:textId="77777777" w:rsidR="00AB39D1" w:rsidRPr="00B946A7" w:rsidRDefault="00AB39D1" w:rsidP="00AB39D1">
            <w:pPr>
              <w:spacing w:before="60" w:after="60" w:line="240" w:lineRule="auto"/>
              <w:jc w:val="center"/>
              <w:rPr>
                <w:rFonts w:ascii="Arial" w:hAnsi="Arial" w:cs="Arial"/>
                <w:b/>
                <w:sz w:val="24"/>
                <w:szCs w:val="24"/>
              </w:rPr>
            </w:pPr>
            <w:r w:rsidRPr="00B946A7">
              <w:rPr>
                <w:rFonts w:ascii="Arial" w:hAnsi="Arial" w:cs="Arial"/>
                <w:b/>
                <w:sz w:val="24"/>
                <w:szCs w:val="24"/>
              </w:rPr>
              <w:t>Academic year</w:t>
            </w:r>
          </w:p>
        </w:tc>
        <w:tc>
          <w:tcPr>
            <w:tcW w:w="3185" w:type="dxa"/>
          </w:tcPr>
          <w:p w14:paraId="150EBF30" w14:textId="77777777" w:rsidR="00AB39D1" w:rsidRPr="00B946A7" w:rsidRDefault="00AB39D1" w:rsidP="00AB39D1">
            <w:pPr>
              <w:spacing w:before="60" w:after="60" w:line="240" w:lineRule="auto"/>
              <w:jc w:val="center"/>
              <w:rPr>
                <w:rFonts w:ascii="Arial" w:hAnsi="Arial" w:cs="Arial"/>
                <w:b/>
                <w:sz w:val="24"/>
                <w:szCs w:val="24"/>
              </w:rPr>
            </w:pPr>
            <w:r w:rsidRPr="00B946A7">
              <w:rPr>
                <w:rFonts w:ascii="Arial" w:hAnsi="Arial" w:cs="Arial"/>
                <w:b/>
                <w:sz w:val="24"/>
                <w:szCs w:val="24"/>
              </w:rPr>
              <w:t>Numbers of enrolments</w:t>
            </w:r>
          </w:p>
        </w:tc>
      </w:tr>
      <w:tr w:rsidR="00B946A7" w:rsidRPr="00B946A7" w14:paraId="223883F2" w14:textId="77777777" w:rsidTr="00AB39D1">
        <w:tc>
          <w:tcPr>
            <w:tcW w:w="2972" w:type="dxa"/>
          </w:tcPr>
          <w:p w14:paraId="52CA22D1" w14:textId="77777777" w:rsidR="00AB39D1" w:rsidRPr="00B946A7" w:rsidRDefault="00AB39D1" w:rsidP="00304ED5">
            <w:pPr>
              <w:spacing w:before="60" w:after="60" w:line="240" w:lineRule="auto"/>
              <w:jc w:val="center"/>
              <w:rPr>
                <w:rFonts w:ascii="Arial" w:hAnsi="Arial" w:cs="Arial"/>
                <w:sz w:val="24"/>
                <w:szCs w:val="24"/>
              </w:rPr>
            </w:pPr>
            <w:r w:rsidRPr="00B946A7">
              <w:rPr>
                <w:rFonts w:ascii="Arial" w:hAnsi="Arial" w:cs="Arial"/>
                <w:sz w:val="24"/>
                <w:szCs w:val="24"/>
              </w:rPr>
              <w:t>2018</w:t>
            </w:r>
          </w:p>
        </w:tc>
        <w:tc>
          <w:tcPr>
            <w:tcW w:w="3185" w:type="dxa"/>
          </w:tcPr>
          <w:p w14:paraId="2FA68491" w14:textId="77777777" w:rsidR="00AB39D1" w:rsidRPr="00B946A7" w:rsidRDefault="00AB39D1" w:rsidP="00304ED5">
            <w:pPr>
              <w:spacing w:before="60" w:after="60" w:line="240" w:lineRule="auto"/>
              <w:jc w:val="center"/>
              <w:rPr>
                <w:rFonts w:ascii="Arial" w:hAnsi="Arial" w:cs="Arial"/>
                <w:sz w:val="24"/>
                <w:szCs w:val="24"/>
              </w:rPr>
            </w:pPr>
            <w:r w:rsidRPr="00B946A7">
              <w:rPr>
                <w:rFonts w:ascii="Arial" w:hAnsi="Arial" w:cs="Arial"/>
                <w:sz w:val="24"/>
                <w:szCs w:val="24"/>
              </w:rPr>
              <w:t>320 000</w:t>
            </w:r>
          </w:p>
        </w:tc>
      </w:tr>
      <w:tr w:rsidR="00B946A7" w:rsidRPr="00B946A7" w14:paraId="178BE9D0" w14:textId="77777777" w:rsidTr="00AB39D1">
        <w:tc>
          <w:tcPr>
            <w:tcW w:w="2972" w:type="dxa"/>
          </w:tcPr>
          <w:p w14:paraId="6D2AA983" w14:textId="77777777" w:rsidR="00AB39D1" w:rsidRPr="00B946A7" w:rsidRDefault="00AB39D1" w:rsidP="00304ED5">
            <w:pPr>
              <w:spacing w:before="60" w:after="60" w:line="240" w:lineRule="auto"/>
              <w:jc w:val="center"/>
              <w:rPr>
                <w:rFonts w:ascii="Arial" w:hAnsi="Arial" w:cs="Arial"/>
                <w:sz w:val="24"/>
                <w:szCs w:val="24"/>
              </w:rPr>
            </w:pPr>
            <w:r w:rsidRPr="00B946A7">
              <w:rPr>
                <w:rFonts w:ascii="Arial" w:hAnsi="Arial" w:cs="Arial"/>
                <w:sz w:val="24"/>
                <w:szCs w:val="24"/>
              </w:rPr>
              <w:t>2019</w:t>
            </w:r>
          </w:p>
        </w:tc>
        <w:tc>
          <w:tcPr>
            <w:tcW w:w="3185" w:type="dxa"/>
          </w:tcPr>
          <w:p w14:paraId="18B5F530" w14:textId="77777777" w:rsidR="00AB39D1" w:rsidRPr="00B946A7" w:rsidRDefault="00AB39D1" w:rsidP="00304ED5">
            <w:pPr>
              <w:spacing w:before="60" w:after="60" w:line="240" w:lineRule="auto"/>
              <w:jc w:val="center"/>
              <w:rPr>
                <w:rFonts w:ascii="Arial" w:hAnsi="Arial" w:cs="Arial"/>
                <w:sz w:val="24"/>
                <w:szCs w:val="24"/>
              </w:rPr>
            </w:pPr>
            <w:r w:rsidRPr="00B946A7">
              <w:rPr>
                <w:rFonts w:ascii="Arial" w:hAnsi="Arial" w:cs="Arial"/>
                <w:sz w:val="24"/>
                <w:szCs w:val="24"/>
              </w:rPr>
              <w:t>340 000</w:t>
            </w:r>
          </w:p>
        </w:tc>
      </w:tr>
      <w:tr w:rsidR="00B946A7" w:rsidRPr="00B946A7" w14:paraId="3AE5D3CA" w14:textId="77777777" w:rsidTr="00AB39D1">
        <w:tc>
          <w:tcPr>
            <w:tcW w:w="2972" w:type="dxa"/>
          </w:tcPr>
          <w:p w14:paraId="6D958CF4" w14:textId="77777777" w:rsidR="00AB39D1" w:rsidRPr="00B946A7" w:rsidRDefault="00AB39D1" w:rsidP="00304ED5">
            <w:pPr>
              <w:spacing w:before="60" w:after="60" w:line="240" w:lineRule="auto"/>
              <w:jc w:val="center"/>
              <w:rPr>
                <w:rFonts w:ascii="Arial" w:hAnsi="Arial" w:cs="Arial"/>
                <w:sz w:val="24"/>
                <w:szCs w:val="24"/>
              </w:rPr>
            </w:pPr>
            <w:r w:rsidRPr="00B946A7">
              <w:rPr>
                <w:rFonts w:ascii="Arial" w:hAnsi="Arial" w:cs="Arial"/>
                <w:sz w:val="24"/>
                <w:szCs w:val="24"/>
              </w:rPr>
              <w:t>2020</w:t>
            </w:r>
          </w:p>
        </w:tc>
        <w:tc>
          <w:tcPr>
            <w:tcW w:w="3185" w:type="dxa"/>
          </w:tcPr>
          <w:p w14:paraId="1D4D55EB" w14:textId="77777777" w:rsidR="00AB39D1" w:rsidRPr="00B946A7" w:rsidRDefault="00AB39D1" w:rsidP="00304ED5">
            <w:pPr>
              <w:spacing w:before="60" w:after="60" w:line="240" w:lineRule="auto"/>
              <w:jc w:val="center"/>
              <w:rPr>
                <w:rFonts w:ascii="Arial" w:hAnsi="Arial" w:cs="Arial"/>
                <w:sz w:val="24"/>
                <w:szCs w:val="24"/>
              </w:rPr>
            </w:pPr>
            <w:r w:rsidRPr="00B946A7">
              <w:rPr>
                <w:rFonts w:ascii="Arial" w:hAnsi="Arial" w:cs="Arial"/>
                <w:sz w:val="24"/>
                <w:szCs w:val="24"/>
              </w:rPr>
              <w:t>360 000</w:t>
            </w:r>
          </w:p>
        </w:tc>
      </w:tr>
    </w:tbl>
    <w:p w14:paraId="1DFAC7CC" w14:textId="77777777" w:rsidR="00AB39D1" w:rsidRPr="00B946A7" w:rsidRDefault="00AB39D1" w:rsidP="00AB39D1">
      <w:pPr>
        <w:spacing w:after="240" w:line="360" w:lineRule="auto"/>
        <w:jc w:val="both"/>
        <w:rPr>
          <w:rFonts w:ascii="Arial" w:hAnsi="Arial" w:cs="Arial"/>
          <w:sz w:val="24"/>
          <w:szCs w:val="24"/>
        </w:rPr>
      </w:pPr>
      <w:r w:rsidRPr="00B946A7">
        <w:rPr>
          <w:rFonts w:ascii="Arial" w:hAnsi="Arial" w:cs="Arial"/>
          <w:sz w:val="24"/>
          <w:szCs w:val="24"/>
        </w:rPr>
        <w:t xml:space="preserve"> </w:t>
      </w:r>
    </w:p>
    <w:p w14:paraId="38CFA7AA" w14:textId="77777777" w:rsidR="00AB39D1" w:rsidRPr="00B946A7" w:rsidRDefault="00304ED5" w:rsidP="00AB39D1">
      <w:pPr>
        <w:spacing w:after="240" w:line="360" w:lineRule="auto"/>
        <w:ind w:left="720"/>
        <w:jc w:val="both"/>
        <w:rPr>
          <w:rFonts w:ascii="Arial" w:hAnsi="Arial" w:cs="Arial"/>
          <w:sz w:val="24"/>
          <w:szCs w:val="24"/>
        </w:rPr>
      </w:pPr>
      <w:r>
        <w:rPr>
          <w:rFonts w:ascii="Arial" w:hAnsi="Arial" w:cs="Arial"/>
          <w:sz w:val="24"/>
          <w:szCs w:val="24"/>
        </w:rPr>
        <w:lastRenderedPageBreak/>
        <w:t>The funding allocated to CET c</w:t>
      </w:r>
      <w:r w:rsidR="00AB39D1" w:rsidRPr="00B946A7">
        <w:rPr>
          <w:rFonts w:ascii="Arial" w:hAnsi="Arial" w:cs="Arial"/>
          <w:sz w:val="24"/>
          <w:szCs w:val="24"/>
        </w:rPr>
        <w:t xml:space="preserve">olleges and Community Learning Centres for the 2018 Medium Term Expenditure Framework period excluding </w:t>
      </w:r>
      <w:r>
        <w:rPr>
          <w:rFonts w:ascii="Arial" w:hAnsi="Arial" w:cs="Arial"/>
          <w:sz w:val="24"/>
          <w:szCs w:val="24"/>
        </w:rPr>
        <w:t xml:space="preserve">the </w:t>
      </w:r>
      <w:r w:rsidR="00AB39D1" w:rsidRPr="00B946A7">
        <w:rPr>
          <w:rFonts w:ascii="Arial" w:hAnsi="Arial" w:cs="Arial"/>
          <w:sz w:val="24"/>
          <w:szCs w:val="24"/>
        </w:rPr>
        <w:t>Compensation of Employees is as follows:</w:t>
      </w:r>
    </w:p>
    <w:tbl>
      <w:tblPr>
        <w:tblStyle w:val="TableGrid1"/>
        <w:tblW w:w="0" w:type="auto"/>
        <w:tblInd w:w="704" w:type="dxa"/>
        <w:tblLook w:val="04A0" w:firstRow="1" w:lastRow="0" w:firstColumn="1" w:lastColumn="0" w:noHBand="0" w:noVBand="1"/>
      </w:tblPr>
      <w:tblGrid>
        <w:gridCol w:w="4253"/>
        <w:gridCol w:w="1559"/>
        <w:gridCol w:w="1417"/>
        <w:gridCol w:w="1417"/>
      </w:tblGrid>
      <w:tr w:rsidR="00B946A7" w:rsidRPr="00B946A7" w14:paraId="30771FC5" w14:textId="77777777" w:rsidTr="00B946A7">
        <w:tc>
          <w:tcPr>
            <w:tcW w:w="4253" w:type="dxa"/>
            <w:vMerge w:val="restart"/>
            <w:vAlign w:val="center"/>
          </w:tcPr>
          <w:p w14:paraId="115FF456" w14:textId="77777777" w:rsidR="00AB39D1" w:rsidRPr="00B946A7" w:rsidRDefault="00AB39D1" w:rsidP="00B946A7">
            <w:pPr>
              <w:spacing w:before="60" w:after="60" w:line="240" w:lineRule="auto"/>
              <w:jc w:val="center"/>
              <w:rPr>
                <w:rFonts w:ascii="Arial" w:hAnsi="Arial" w:cs="Arial"/>
                <w:b/>
                <w:sz w:val="24"/>
                <w:szCs w:val="24"/>
              </w:rPr>
            </w:pPr>
            <w:r w:rsidRPr="00B946A7">
              <w:rPr>
                <w:rFonts w:ascii="Arial" w:hAnsi="Arial" w:cs="Arial"/>
                <w:b/>
                <w:sz w:val="24"/>
                <w:szCs w:val="24"/>
              </w:rPr>
              <w:t>Allocation Category</w:t>
            </w:r>
          </w:p>
        </w:tc>
        <w:tc>
          <w:tcPr>
            <w:tcW w:w="1559" w:type="dxa"/>
            <w:tcBorders>
              <w:bottom w:val="single" w:sz="4" w:space="0" w:color="auto"/>
            </w:tcBorders>
            <w:vAlign w:val="center"/>
          </w:tcPr>
          <w:p w14:paraId="292D36F9" w14:textId="77777777" w:rsidR="00AB39D1" w:rsidRPr="00B946A7" w:rsidRDefault="00AB39D1" w:rsidP="00B946A7">
            <w:pPr>
              <w:spacing w:before="60" w:after="60" w:line="240" w:lineRule="auto"/>
              <w:jc w:val="center"/>
              <w:rPr>
                <w:rFonts w:ascii="Arial" w:hAnsi="Arial" w:cs="Arial"/>
                <w:b/>
                <w:sz w:val="24"/>
                <w:szCs w:val="24"/>
              </w:rPr>
            </w:pPr>
            <w:r w:rsidRPr="00B946A7">
              <w:rPr>
                <w:rFonts w:ascii="Arial" w:hAnsi="Arial" w:cs="Arial"/>
                <w:b/>
                <w:sz w:val="24"/>
                <w:szCs w:val="24"/>
              </w:rPr>
              <w:t>2018/19</w:t>
            </w:r>
          </w:p>
        </w:tc>
        <w:tc>
          <w:tcPr>
            <w:tcW w:w="1417" w:type="dxa"/>
            <w:tcBorders>
              <w:bottom w:val="single" w:sz="4" w:space="0" w:color="auto"/>
            </w:tcBorders>
            <w:vAlign w:val="center"/>
          </w:tcPr>
          <w:p w14:paraId="46A2BCFB" w14:textId="77777777" w:rsidR="00AB39D1" w:rsidRPr="00B946A7" w:rsidRDefault="00AB39D1" w:rsidP="00B946A7">
            <w:pPr>
              <w:spacing w:before="60" w:after="60" w:line="240" w:lineRule="auto"/>
              <w:jc w:val="center"/>
              <w:rPr>
                <w:rFonts w:ascii="Arial" w:hAnsi="Arial" w:cs="Arial"/>
                <w:b/>
                <w:sz w:val="24"/>
                <w:szCs w:val="24"/>
              </w:rPr>
            </w:pPr>
            <w:r w:rsidRPr="00B946A7">
              <w:rPr>
                <w:rFonts w:ascii="Arial" w:hAnsi="Arial" w:cs="Arial"/>
                <w:b/>
                <w:sz w:val="24"/>
                <w:szCs w:val="24"/>
              </w:rPr>
              <w:t>2019/20</w:t>
            </w:r>
          </w:p>
          <w:p w14:paraId="6C38D0CF" w14:textId="77777777" w:rsidR="00AB39D1" w:rsidRPr="00B946A7" w:rsidRDefault="00AB39D1" w:rsidP="00B946A7">
            <w:pPr>
              <w:spacing w:before="60" w:after="60" w:line="240" w:lineRule="auto"/>
              <w:jc w:val="center"/>
              <w:rPr>
                <w:rFonts w:ascii="Arial" w:hAnsi="Arial" w:cs="Arial"/>
                <w:b/>
                <w:sz w:val="24"/>
                <w:szCs w:val="24"/>
              </w:rPr>
            </w:pPr>
            <w:r w:rsidRPr="00B946A7">
              <w:rPr>
                <w:rFonts w:ascii="Arial" w:hAnsi="Arial" w:cs="Arial"/>
                <w:b/>
                <w:sz w:val="24"/>
                <w:szCs w:val="24"/>
              </w:rPr>
              <w:t>Estimates</w:t>
            </w:r>
          </w:p>
        </w:tc>
        <w:tc>
          <w:tcPr>
            <w:tcW w:w="1417" w:type="dxa"/>
            <w:tcBorders>
              <w:bottom w:val="single" w:sz="4" w:space="0" w:color="auto"/>
            </w:tcBorders>
            <w:vAlign w:val="center"/>
          </w:tcPr>
          <w:p w14:paraId="5AAF770E" w14:textId="77777777" w:rsidR="00AB39D1" w:rsidRPr="00B946A7" w:rsidRDefault="00AB39D1" w:rsidP="00B946A7">
            <w:pPr>
              <w:spacing w:before="60" w:after="60" w:line="240" w:lineRule="auto"/>
              <w:jc w:val="center"/>
              <w:rPr>
                <w:rFonts w:ascii="Arial" w:hAnsi="Arial" w:cs="Arial"/>
                <w:b/>
                <w:sz w:val="24"/>
                <w:szCs w:val="24"/>
              </w:rPr>
            </w:pPr>
            <w:r w:rsidRPr="00B946A7">
              <w:rPr>
                <w:rFonts w:ascii="Arial" w:hAnsi="Arial" w:cs="Arial"/>
                <w:b/>
                <w:sz w:val="24"/>
                <w:szCs w:val="24"/>
              </w:rPr>
              <w:t>2020/21</w:t>
            </w:r>
          </w:p>
          <w:p w14:paraId="1877369F" w14:textId="77777777" w:rsidR="00AB39D1" w:rsidRPr="00B946A7" w:rsidRDefault="00AB39D1" w:rsidP="00B946A7">
            <w:pPr>
              <w:spacing w:before="60" w:after="60" w:line="240" w:lineRule="auto"/>
              <w:jc w:val="center"/>
              <w:rPr>
                <w:rFonts w:ascii="Arial" w:hAnsi="Arial" w:cs="Arial"/>
                <w:b/>
                <w:sz w:val="24"/>
                <w:szCs w:val="24"/>
              </w:rPr>
            </w:pPr>
            <w:r w:rsidRPr="00B946A7">
              <w:rPr>
                <w:rFonts w:ascii="Arial" w:hAnsi="Arial" w:cs="Arial"/>
                <w:b/>
                <w:sz w:val="24"/>
                <w:szCs w:val="24"/>
              </w:rPr>
              <w:t>Estimates</w:t>
            </w:r>
          </w:p>
        </w:tc>
      </w:tr>
      <w:tr w:rsidR="00B946A7" w:rsidRPr="00B946A7" w14:paraId="624F2675" w14:textId="77777777" w:rsidTr="00B946A7">
        <w:tc>
          <w:tcPr>
            <w:tcW w:w="4253" w:type="dxa"/>
            <w:vMerge/>
            <w:vAlign w:val="center"/>
          </w:tcPr>
          <w:p w14:paraId="650A9045" w14:textId="77777777" w:rsidR="00AB39D1" w:rsidRPr="00B946A7" w:rsidRDefault="00AB39D1" w:rsidP="00B946A7">
            <w:pPr>
              <w:spacing w:before="60" w:after="60" w:line="240" w:lineRule="auto"/>
              <w:jc w:val="center"/>
              <w:rPr>
                <w:rFonts w:ascii="Arial" w:hAnsi="Arial" w:cs="Arial"/>
                <w:b/>
                <w:sz w:val="24"/>
                <w:szCs w:val="24"/>
              </w:rPr>
            </w:pPr>
          </w:p>
        </w:tc>
        <w:tc>
          <w:tcPr>
            <w:tcW w:w="1559" w:type="dxa"/>
            <w:tcBorders>
              <w:bottom w:val="single" w:sz="4" w:space="0" w:color="auto"/>
            </w:tcBorders>
            <w:vAlign w:val="center"/>
          </w:tcPr>
          <w:p w14:paraId="614DA0C0" w14:textId="77777777" w:rsidR="00AB39D1" w:rsidRPr="00B946A7" w:rsidRDefault="00AB39D1" w:rsidP="00B946A7">
            <w:pPr>
              <w:spacing w:before="60" w:after="60" w:line="240" w:lineRule="auto"/>
              <w:jc w:val="center"/>
              <w:rPr>
                <w:rFonts w:ascii="Arial" w:hAnsi="Arial" w:cs="Arial"/>
                <w:b/>
                <w:sz w:val="24"/>
                <w:szCs w:val="24"/>
              </w:rPr>
            </w:pPr>
            <w:r w:rsidRPr="00B946A7">
              <w:rPr>
                <w:rFonts w:ascii="Arial" w:hAnsi="Arial" w:cs="Arial"/>
                <w:b/>
                <w:sz w:val="24"/>
                <w:szCs w:val="24"/>
              </w:rPr>
              <w:t>R’000</w:t>
            </w:r>
          </w:p>
        </w:tc>
        <w:tc>
          <w:tcPr>
            <w:tcW w:w="1417" w:type="dxa"/>
            <w:tcBorders>
              <w:bottom w:val="single" w:sz="4" w:space="0" w:color="auto"/>
            </w:tcBorders>
            <w:vAlign w:val="center"/>
          </w:tcPr>
          <w:p w14:paraId="7A1CBEFD" w14:textId="77777777" w:rsidR="00AB39D1" w:rsidRPr="00B946A7" w:rsidRDefault="00AB39D1" w:rsidP="00B946A7">
            <w:pPr>
              <w:spacing w:before="60" w:after="60" w:line="240" w:lineRule="auto"/>
              <w:jc w:val="center"/>
              <w:rPr>
                <w:rFonts w:ascii="Arial" w:hAnsi="Arial" w:cs="Arial"/>
                <w:b/>
                <w:sz w:val="24"/>
                <w:szCs w:val="24"/>
              </w:rPr>
            </w:pPr>
            <w:r w:rsidRPr="00B946A7">
              <w:rPr>
                <w:rFonts w:ascii="Arial" w:hAnsi="Arial" w:cs="Arial"/>
                <w:b/>
                <w:sz w:val="24"/>
                <w:szCs w:val="24"/>
              </w:rPr>
              <w:t>R’000</w:t>
            </w:r>
          </w:p>
        </w:tc>
        <w:tc>
          <w:tcPr>
            <w:tcW w:w="1417" w:type="dxa"/>
            <w:tcBorders>
              <w:bottom w:val="single" w:sz="4" w:space="0" w:color="auto"/>
            </w:tcBorders>
            <w:vAlign w:val="center"/>
          </w:tcPr>
          <w:p w14:paraId="3BD7D690" w14:textId="77777777" w:rsidR="00AB39D1" w:rsidRPr="00B946A7" w:rsidRDefault="00AB39D1" w:rsidP="00B946A7">
            <w:pPr>
              <w:spacing w:before="60" w:after="60" w:line="240" w:lineRule="auto"/>
              <w:jc w:val="center"/>
              <w:rPr>
                <w:rFonts w:ascii="Arial" w:hAnsi="Arial" w:cs="Arial"/>
                <w:b/>
                <w:sz w:val="24"/>
                <w:szCs w:val="24"/>
              </w:rPr>
            </w:pPr>
            <w:r w:rsidRPr="00B946A7">
              <w:rPr>
                <w:rFonts w:ascii="Arial" w:hAnsi="Arial" w:cs="Arial"/>
                <w:b/>
                <w:sz w:val="24"/>
                <w:szCs w:val="24"/>
              </w:rPr>
              <w:t>R’000</w:t>
            </w:r>
          </w:p>
        </w:tc>
      </w:tr>
      <w:tr w:rsidR="00B946A7" w:rsidRPr="00B946A7" w14:paraId="703A9C38" w14:textId="77777777" w:rsidTr="00B946A7">
        <w:tc>
          <w:tcPr>
            <w:tcW w:w="4253" w:type="dxa"/>
            <w:tcBorders>
              <w:bottom w:val="single" w:sz="4" w:space="0" w:color="auto"/>
            </w:tcBorders>
          </w:tcPr>
          <w:p w14:paraId="11832FAC" w14:textId="77777777" w:rsidR="00AB39D1" w:rsidRPr="00B946A7" w:rsidRDefault="00AB39D1" w:rsidP="00B946A7">
            <w:pPr>
              <w:spacing w:before="60" w:after="60" w:line="240" w:lineRule="auto"/>
              <w:rPr>
                <w:rFonts w:ascii="Arial" w:hAnsi="Arial" w:cs="Arial"/>
                <w:sz w:val="24"/>
                <w:szCs w:val="24"/>
              </w:rPr>
            </w:pPr>
            <w:r w:rsidRPr="00B946A7">
              <w:rPr>
                <w:rFonts w:ascii="Arial" w:hAnsi="Arial" w:cs="Arial"/>
                <w:sz w:val="24"/>
                <w:szCs w:val="24"/>
              </w:rPr>
              <w:t>CET Colleges: Operational Budget</w:t>
            </w:r>
          </w:p>
        </w:tc>
        <w:tc>
          <w:tcPr>
            <w:tcW w:w="1559" w:type="dxa"/>
            <w:tcBorders>
              <w:top w:val="single" w:sz="4" w:space="0" w:color="auto"/>
              <w:left w:val="nil"/>
              <w:bottom w:val="single" w:sz="4" w:space="0" w:color="auto"/>
              <w:right w:val="single" w:sz="4" w:space="0" w:color="auto"/>
            </w:tcBorders>
            <w:shd w:val="clear" w:color="auto" w:fill="auto"/>
            <w:vAlign w:val="bottom"/>
          </w:tcPr>
          <w:p w14:paraId="70C892CD" w14:textId="77777777" w:rsidR="00AB39D1" w:rsidRPr="00B946A7" w:rsidRDefault="00AB39D1" w:rsidP="00B946A7">
            <w:pPr>
              <w:spacing w:before="60" w:after="60" w:line="240" w:lineRule="auto"/>
              <w:jc w:val="right"/>
              <w:rPr>
                <w:rFonts w:ascii="Arial" w:hAnsi="Arial" w:cs="Arial"/>
                <w:sz w:val="24"/>
                <w:szCs w:val="24"/>
              </w:rPr>
            </w:pPr>
            <w:r w:rsidRPr="00B946A7">
              <w:rPr>
                <w:rFonts w:ascii="Arial" w:hAnsi="Arial" w:cs="Arial"/>
                <w:sz w:val="24"/>
                <w:szCs w:val="24"/>
              </w:rPr>
              <w:t>31 076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9B4C0F3" w14:textId="77777777" w:rsidR="00AB39D1" w:rsidRPr="00B946A7" w:rsidRDefault="00AB39D1" w:rsidP="00B946A7">
            <w:pPr>
              <w:spacing w:before="60" w:after="60" w:line="240" w:lineRule="auto"/>
              <w:jc w:val="right"/>
              <w:rPr>
                <w:rFonts w:ascii="Arial" w:hAnsi="Arial" w:cs="Arial"/>
                <w:sz w:val="24"/>
                <w:szCs w:val="24"/>
              </w:rPr>
            </w:pPr>
            <w:r w:rsidRPr="00B946A7">
              <w:rPr>
                <w:rFonts w:ascii="Arial" w:hAnsi="Arial" w:cs="Arial"/>
                <w:sz w:val="24"/>
                <w:szCs w:val="24"/>
              </w:rPr>
              <w:t>32 713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65B1B7F" w14:textId="77777777" w:rsidR="00AB39D1" w:rsidRPr="00B946A7" w:rsidRDefault="00AB39D1" w:rsidP="00B946A7">
            <w:pPr>
              <w:spacing w:before="60" w:after="60" w:line="240" w:lineRule="auto"/>
              <w:jc w:val="right"/>
              <w:rPr>
                <w:rFonts w:ascii="Arial" w:hAnsi="Arial" w:cs="Arial"/>
                <w:sz w:val="24"/>
                <w:szCs w:val="24"/>
              </w:rPr>
            </w:pPr>
            <w:r w:rsidRPr="00B946A7">
              <w:rPr>
                <w:rFonts w:ascii="Arial" w:hAnsi="Arial" w:cs="Arial"/>
                <w:sz w:val="24"/>
                <w:szCs w:val="24"/>
              </w:rPr>
              <w:t>34 348</w:t>
            </w:r>
          </w:p>
        </w:tc>
      </w:tr>
      <w:tr w:rsidR="00B946A7" w:rsidRPr="00B946A7" w14:paraId="4E3B4F91" w14:textId="77777777" w:rsidTr="00B946A7">
        <w:tc>
          <w:tcPr>
            <w:tcW w:w="4253" w:type="dxa"/>
            <w:tcBorders>
              <w:top w:val="single" w:sz="4" w:space="0" w:color="auto"/>
            </w:tcBorders>
          </w:tcPr>
          <w:p w14:paraId="1387FC52" w14:textId="77777777" w:rsidR="00AB39D1" w:rsidRPr="00B946A7" w:rsidRDefault="00B946A7" w:rsidP="00B946A7">
            <w:pPr>
              <w:spacing w:before="60" w:after="60" w:line="240" w:lineRule="auto"/>
              <w:rPr>
                <w:rFonts w:ascii="Arial" w:hAnsi="Arial" w:cs="Arial"/>
                <w:sz w:val="24"/>
                <w:szCs w:val="24"/>
              </w:rPr>
            </w:pPr>
            <w:r w:rsidRPr="00B946A7">
              <w:rPr>
                <w:rFonts w:ascii="Arial" w:hAnsi="Arial" w:cs="Arial"/>
                <w:sz w:val="24"/>
                <w:szCs w:val="24"/>
              </w:rPr>
              <w:t xml:space="preserve">Community Learning Centre </w:t>
            </w:r>
            <w:r w:rsidR="00AB39D1" w:rsidRPr="00B946A7">
              <w:rPr>
                <w:rFonts w:ascii="Arial" w:hAnsi="Arial" w:cs="Arial"/>
                <w:sz w:val="24"/>
                <w:szCs w:val="24"/>
              </w:rPr>
              <w:t>(Transfers and Subsidies)</w:t>
            </w:r>
          </w:p>
        </w:tc>
        <w:tc>
          <w:tcPr>
            <w:tcW w:w="1559" w:type="dxa"/>
            <w:tcBorders>
              <w:top w:val="single" w:sz="4" w:space="0" w:color="auto"/>
              <w:left w:val="nil"/>
              <w:bottom w:val="single" w:sz="4" w:space="0" w:color="auto"/>
              <w:right w:val="single" w:sz="4" w:space="0" w:color="auto"/>
            </w:tcBorders>
            <w:shd w:val="clear" w:color="auto" w:fill="auto"/>
            <w:vAlign w:val="bottom"/>
          </w:tcPr>
          <w:p w14:paraId="62E77F86" w14:textId="77777777" w:rsidR="00AB39D1" w:rsidRPr="00B946A7" w:rsidRDefault="00AB39D1" w:rsidP="00B946A7">
            <w:pPr>
              <w:spacing w:before="60" w:after="60" w:line="240" w:lineRule="auto"/>
              <w:jc w:val="right"/>
              <w:rPr>
                <w:rFonts w:ascii="Arial" w:hAnsi="Arial" w:cs="Arial"/>
                <w:sz w:val="24"/>
                <w:szCs w:val="24"/>
              </w:rPr>
            </w:pPr>
            <w:r w:rsidRPr="00B946A7">
              <w:rPr>
                <w:rFonts w:ascii="Arial" w:hAnsi="Arial" w:cs="Arial"/>
                <w:sz w:val="24"/>
                <w:szCs w:val="24"/>
              </w:rPr>
              <w:t>109 924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614182F" w14:textId="77777777" w:rsidR="00AB39D1" w:rsidRPr="00B946A7" w:rsidRDefault="00AB39D1" w:rsidP="00B946A7">
            <w:pPr>
              <w:spacing w:before="60" w:after="60" w:line="240" w:lineRule="auto"/>
              <w:jc w:val="right"/>
              <w:rPr>
                <w:rFonts w:ascii="Arial" w:hAnsi="Arial" w:cs="Arial"/>
                <w:sz w:val="24"/>
                <w:szCs w:val="24"/>
              </w:rPr>
            </w:pPr>
            <w:r w:rsidRPr="00B946A7">
              <w:rPr>
                <w:rFonts w:ascii="Arial" w:hAnsi="Arial" w:cs="Arial"/>
                <w:sz w:val="24"/>
                <w:szCs w:val="24"/>
              </w:rPr>
              <w:t>116 080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BF0C17B" w14:textId="77777777" w:rsidR="00AB39D1" w:rsidRPr="00B946A7" w:rsidRDefault="00AB39D1" w:rsidP="00B946A7">
            <w:pPr>
              <w:spacing w:before="60" w:after="60" w:line="240" w:lineRule="auto"/>
              <w:jc w:val="right"/>
              <w:rPr>
                <w:rFonts w:ascii="Arial" w:hAnsi="Arial" w:cs="Arial"/>
                <w:sz w:val="24"/>
                <w:szCs w:val="24"/>
              </w:rPr>
            </w:pPr>
            <w:r w:rsidRPr="00B946A7">
              <w:rPr>
                <w:rFonts w:ascii="Arial" w:hAnsi="Arial" w:cs="Arial"/>
                <w:sz w:val="24"/>
                <w:szCs w:val="24"/>
              </w:rPr>
              <w:t>122 464</w:t>
            </w:r>
          </w:p>
        </w:tc>
      </w:tr>
      <w:tr w:rsidR="00B946A7" w:rsidRPr="00B946A7" w14:paraId="12F0C6A0" w14:textId="77777777" w:rsidTr="00B946A7">
        <w:tc>
          <w:tcPr>
            <w:tcW w:w="4253" w:type="dxa"/>
          </w:tcPr>
          <w:p w14:paraId="54685D3E" w14:textId="77777777" w:rsidR="00AB39D1" w:rsidRPr="00B946A7" w:rsidRDefault="00AB39D1" w:rsidP="00B946A7">
            <w:pPr>
              <w:spacing w:before="60" w:after="60" w:line="240" w:lineRule="auto"/>
              <w:rPr>
                <w:rFonts w:ascii="Arial" w:hAnsi="Arial" w:cs="Arial"/>
                <w:b/>
                <w:sz w:val="24"/>
                <w:szCs w:val="24"/>
              </w:rPr>
            </w:pPr>
            <w:r w:rsidRPr="00B946A7">
              <w:rPr>
                <w:rFonts w:ascii="Arial" w:hAnsi="Arial" w:cs="Arial"/>
                <w:b/>
                <w:sz w:val="24"/>
                <w:szCs w:val="24"/>
              </w:rPr>
              <w:t xml:space="preserve">Total </w:t>
            </w:r>
          </w:p>
        </w:tc>
        <w:tc>
          <w:tcPr>
            <w:tcW w:w="1559" w:type="dxa"/>
            <w:tcBorders>
              <w:top w:val="single" w:sz="4" w:space="0" w:color="auto"/>
              <w:left w:val="nil"/>
              <w:bottom w:val="single" w:sz="4" w:space="0" w:color="auto"/>
              <w:right w:val="single" w:sz="4" w:space="0" w:color="auto"/>
            </w:tcBorders>
            <w:shd w:val="clear" w:color="auto" w:fill="auto"/>
            <w:vAlign w:val="bottom"/>
          </w:tcPr>
          <w:p w14:paraId="42CDFF1F" w14:textId="77777777" w:rsidR="00AB39D1" w:rsidRPr="00B946A7" w:rsidRDefault="00AB39D1" w:rsidP="00B946A7">
            <w:pPr>
              <w:spacing w:before="60" w:after="60" w:line="240" w:lineRule="auto"/>
              <w:jc w:val="right"/>
              <w:rPr>
                <w:rFonts w:ascii="Arial" w:hAnsi="Arial" w:cs="Arial"/>
                <w:b/>
                <w:sz w:val="24"/>
                <w:szCs w:val="24"/>
              </w:rPr>
            </w:pPr>
            <w:r w:rsidRPr="00B946A7">
              <w:rPr>
                <w:rFonts w:ascii="Arial" w:hAnsi="Arial" w:cs="Arial"/>
                <w:b/>
                <w:sz w:val="24"/>
                <w:szCs w:val="24"/>
              </w:rPr>
              <w:t>141 000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3C11BCE" w14:textId="77777777" w:rsidR="00AB39D1" w:rsidRPr="00B946A7" w:rsidRDefault="00AB39D1" w:rsidP="00B946A7">
            <w:pPr>
              <w:spacing w:before="60" w:after="60" w:line="240" w:lineRule="auto"/>
              <w:jc w:val="right"/>
              <w:rPr>
                <w:rFonts w:ascii="Arial" w:hAnsi="Arial" w:cs="Arial"/>
                <w:b/>
                <w:sz w:val="24"/>
                <w:szCs w:val="24"/>
              </w:rPr>
            </w:pPr>
            <w:r w:rsidRPr="00B946A7">
              <w:rPr>
                <w:rFonts w:ascii="Arial" w:hAnsi="Arial" w:cs="Arial"/>
                <w:b/>
                <w:sz w:val="24"/>
                <w:szCs w:val="24"/>
              </w:rPr>
              <w:t>148 793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2549BFB" w14:textId="77777777" w:rsidR="00AB39D1" w:rsidRPr="00B946A7" w:rsidRDefault="00AB39D1" w:rsidP="00B946A7">
            <w:pPr>
              <w:spacing w:before="60" w:after="60" w:line="240" w:lineRule="auto"/>
              <w:jc w:val="right"/>
              <w:rPr>
                <w:rFonts w:ascii="Arial" w:hAnsi="Arial" w:cs="Arial"/>
                <w:b/>
                <w:sz w:val="24"/>
                <w:szCs w:val="24"/>
              </w:rPr>
            </w:pPr>
            <w:r w:rsidRPr="00B946A7">
              <w:rPr>
                <w:rFonts w:ascii="Arial" w:hAnsi="Arial" w:cs="Arial"/>
                <w:b/>
                <w:sz w:val="24"/>
                <w:szCs w:val="24"/>
              </w:rPr>
              <w:t>156 812</w:t>
            </w:r>
          </w:p>
        </w:tc>
      </w:tr>
    </w:tbl>
    <w:p w14:paraId="3A00A4D1" w14:textId="77777777" w:rsidR="00AB39D1" w:rsidRPr="00B946A7" w:rsidRDefault="00AB39D1" w:rsidP="00B946A7">
      <w:pPr>
        <w:spacing w:before="360" w:after="240" w:line="360" w:lineRule="auto"/>
        <w:ind w:left="720"/>
        <w:jc w:val="both"/>
        <w:rPr>
          <w:rFonts w:ascii="Arial" w:hAnsi="Arial" w:cs="Arial"/>
          <w:sz w:val="24"/>
          <w:szCs w:val="24"/>
        </w:rPr>
      </w:pPr>
      <w:r w:rsidRPr="00B946A7">
        <w:rPr>
          <w:rFonts w:ascii="Arial" w:hAnsi="Arial" w:cs="Arial"/>
          <w:sz w:val="24"/>
          <w:szCs w:val="24"/>
        </w:rPr>
        <w:t xml:space="preserve">The current funding is neither per programme/learning area nor per student due to the fact that when the adult education and training function shifted to the Department in 2015, the </w:t>
      </w:r>
      <w:r w:rsidR="00A04427" w:rsidRPr="00B946A7">
        <w:rPr>
          <w:rFonts w:ascii="Arial" w:hAnsi="Arial" w:cs="Arial"/>
          <w:sz w:val="24"/>
          <w:szCs w:val="24"/>
        </w:rPr>
        <w:t>Department inherited the funding arrangement that prevailed in the Provincial Education Departments (PEDs)</w:t>
      </w:r>
      <w:r w:rsidRPr="00B946A7">
        <w:rPr>
          <w:rFonts w:ascii="Arial" w:hAnsi="Arial" w:cs="Arial"/>
          <w:sz w:val="24"/>
          <w:szCs w:val="24"/>
        </w:rPr>
        <w:t xml:space="preserve"> and it was different across the </w:t>
      </w:r>
      <w:r w:rsidR="0010247D">
        <w:rPr>
          <w:rFonts w:ascii="Arial" w:hAnsi="Arial" w:cs="Arial"/>
          <w:sz w:val="24"/>
          <w:szCs w:val="24"/>
        </w:rPr>
        <w:t xml:space="preserve">various </w:t>
      </w:r>
      <w:r w:rsidRPr="00B946A7">
        <w:rPr>
          <w:rFonts w:ascii="Arial" w:hAnsi="Arial" w:cs="Arial"/>
          <w:sz w:val="24"/>
          <w:szCs w:val="24"/>
        </w:rPr>
        <w:t xml:space="preserve">PEDs. </w:t>
      </w:r>
    </w:p>
    <w:p w14:paraId="45BFC4B6" w14:textId="77777777" w:rsidR="00AB39D1" w:rsidRPr="00B946A7" w:rsidRDefault="00AB39D1" w:rsidP="00AB39D1">
      <w:pPr>
        <w:spacing w:after="240" w:line="360" w:lineRule="auto"/>
        <w:ind w:left="720"/>
        <w:jc w:val="both"/>
        <w:rPr>
          <w:rFonts w:ascii="Arial" w:hAnsi="Arial" w:cs="Arial"/>
          <w:sz w:val="24"/>
          <w:szCs w:val="24"/>
        </w:rPr>
      </w:pPr>
      <w:r w:rsidRPr="00B946A7">
        <w:rPr>
          <w:rFonts w:ascii="Arial" w:hAnsi="Arial" w:cs="Arial"/>
          <w:sz w:val="24"/>
          <w:szCs w:val="24"/>
        </w:rPr>
        <w:t xml:space="preserve">There is a process underway to develop new national Norms and Standards for </w:t>
      </w:r>
      <w:r w:rsidR="00304ED5">
        <w:rPr>
          <w:rFonts w:ascii="Arial" w:hAnsi="Arial" w:cs="Arial"/>
          <w:sz w:val="24"/>
          <w:szCs w:val="24"/>
        </w:rPr>
        <w:t xml:space="preserve">the Funding </w:t>
      </w:r>
      <w:r w:rsidR="0010247D">
        <w:rPr>
          <w:rFonts w:ascii="Arial" w:hAnsi="Arial" w:cs="Arial"/>
          <w:sz w:val="24"/>
          <w:szCs w:val="24"/>
        </w:rPr>
        <w:t xml:space="preserve">of </w:t>
      </w:r>
      <w:r w:rsidR="00304ED5">
        <w:rPr>
          <w:rFonts w:ascii="Arial" w:hAnsi="Arial" w:cs="Arial"/>
          <w:sz w:val="24"/>
          <w:szCs w:val="24"/>
        </w:rPr>
        <w:t>CET c</w:t>
      </w:r>
      <w:r w:rsidRPr="00B946A7">
        <w:rPr>
          <w:rFonts w:ascii="Arial" w:hAnsi="Arial" w:cs="Arial"/>
          <w:sz w:val="24"/>
          <w:szCs w:val="24"/>
        </w:rPr>
        <w:t>olleges. There is also a need to conduct a costing for the programmes/learning areas off</w:t>
      </w:r>
      <w:r w:rsidR="00304ED5">
        <w:rPr>
          <w:rFonts w:ascii="Arial" w:hAnsi="Arial" w:cs="Arial"/>
          <w:sz w:val="24"/>
          <w:szCs w:val="24"/>
        </w:rPr>
        <w:t>ered in CET c</w:t>
      </w:r>
      <w:r w:rsidRPr="00B946A7">
        <w:rPr>
          <w:rFonts w:ascii="Arial" w:hAnsi="Arial" w:cs="Arial"/>
          <w:sz w:val="24"/>
          <w:szCs w:val="24"/>
        </w:rPr>
        <w:t>olleges</w:t>
      </w:r>
      <w:r w:rsidR="0010247D">
        <w:rPr>
          <w:rFonts w:ascii="Arial" w:hAnsi="Arial" w:cs="Arial"/>
          <w:sz w:val="24"/>
          <w:szCs w:val="24"/>
        </w:rPr>
        <w:t>,</w:t>
      </w:r>
      <w:r w:rsidRPr="00B946A7">
        <w:rPr>
          <w:rFonts w:ascii="Arial" w:hAnsi="Arial" w:cs="Arial"/>
          <w:sz w:val="24"/>
          <w:szCs w:val="24"/>
        </w:rPr>
        <w:t xml:space="preserve"> as well as to quantify the funding requirements in the sector. These processes</w:t>
      </w:r>
      <w:r w:rsidR="00C5283C">
        <w:rPr>
          <w:rFonts w:ascii="Arial" w:hAnsi="Arial" w:cs="Arial"/>
          <w:sz w:val="24"/>
          <w:szCs w:val="24"/>
        </w:rPr>
        <w:t>,</w:t>
      </w:r>
      <w:r w:rsidRPr="00B946A7">
        <w:rPr>
          <w:rFonts w:ascii="Arial" w:hAnsi="Arial" w:cs="Arial"/>
          <w:sz w:val="24"/>
          <w:szCs w:val="24"/>
        </w:rPr>
        <w:t xml:space="preserve"> once finalised</w:t>
      </w:r>
      <w:r w:rsidR="00C5283C">
        <w:rPr>
          <w:rFonts w:ascii="Arial" w:hAnsi="Arial" w:cs="Arial"/>
          <w:sz w:val="24"/>
          <w:szCs w:val="24"/>
        </w:rPr>
        <w:t>,</w:t>
      </w:r>
      <w:r w:rsidRPr="00B946A7">
        <w:rPr>
          <w:rFonts w:ascii="Arial" w:hAnsi="Arial" w:cs="Arial"/>
          <w:sz w:val="24"/>
          <w:szCs w:val="24"/>
        </w:rPr>
        <w:t xml:space="preserve"> will assist in ensuring the equitabl</w:t>
      </w:r>
      <w:r w:rsidR="00304ED5">
        <w:rPr>
          <w:rFonts w:ascii="Arial" w:hAnsi="Arial" w:cs="Arial"/>
          <w:sz w:val="24"/>
          <w:szCs w:val="24"/>
        </w:rPr>
        <w:t>e distribution of funds to CET c</w:t>
      </w:r>
      <w:r w:rsidRPr="00B946A7">
        <w:rPr>
          <w:rFonts w:ascii="Arial" w:hAnsi="Arial" w:cs="Arial"/>
          <w:sz w:val="24"/>
          <w:szCs w:val="24"/>
        </w:rPr>
        <w:t>olleges.</w:t>
      </w:r>
    </w:p>
    <w:p w14:paraId="68EA4B56" w14:textId="77777777" w:rsidR="00D812CE" w:rsidRPr="00B946A7" w:rsidRDefault="00D812CE" w:rsidP="00CA6331">
      <w:pPr>
        <w:spacing w:after="240" w:line="360" w:lineRule="auto"/>
        <w:rPr>
          <w:rFonts w:ascii="Arial" w:hAnsi="Arial" w:cs="Arial"/>
          <w:sz w:val="24"/>
          <w:szCs w:val="24"/>
        </w:rPr>
      </w:pPr>
    </w:p>
    <w:sectPr w:rsidR="00D812CE" w:rsidRPr="00B946A7"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E52068F"/>
    <w:multiLevelType w:val="hybridMultilevel"/>
    <w:tmpl w:val="AF3E689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4" w15:restartNumberingAfterBreak="0">
    <w:nsid w:val="50910665"/>
    <w:multiLevelType w:val="hybridMultilevel"/>
    <w:tmpl w:val="2EDACC6A"/>
    <w:lvl w:ilvl="0" w:tplc="91BC7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6" w15:restartNumberingAfterBreak="0">
    <w:nsid w:val="5B477B94"/>
    <w:multiLevelType w:val="hybridMultilevel"/>
    <w:tmpl w:val="48820BFE"/>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2"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5"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6"/>
  </w:num>
  <w:num w:numId="3">
    <w:abstractNumId w:val="18"/>
  </w:num>
  <w:num w:numId="4">
    <w:abstractNumId w:val="2"/>
  </w:num>
  <w:num w:numId="5">
    <w:abstractNumId w:val="23"/>
  </w:num>
  <w:num w:numId="6">
    <w:abstractNumId w:val="15"/>
  </w:num>
  <w:num w:numId="7">
    <w:abstractNumId w:val="21"/>
  </w:num>
  <w:num w:numId="8">
    <w:abstractNumId w:val="13"/>
  </w:num>
  <w:num w:numId="9">
    <w:abstractNumId w:val="22"/>
  </w:num>
  <w:num w:numId="10">
    <w:abstractNumId w:val="6"/>
  </w:num>
  <w:num w:numId="11">
    <w:abstractNumId w:val="8"/>
  </w:num>
  <w:num w:numId="12">
    <w:abstractNumId w:val="1"/>
  </w:num>
  <w:num w:numId="13">
    <w:abstractNumId w:val="11"/>
  </w:num>
  <w:num w:numId="14">
    <w:abstractNumId w:val="20"/>
  </w:num>
  <w:num w:numId="15">
    <w:abstractNumId w:val="3"/>
  </w:num>
  <w:num w:numId="16">
    <w:abstractNumId w:val="24"/>
  </w:num>
  <w:num w:numId="17">
    <w:abstractNumId w:val="19"/>
  </w:num>
  <w:num w:numId="18">
    <w:abstractNumId w:val="25"/>
  </w:num>
  <w:num w:numId="19">
    <w:abstractNumId w:val="4"/>
  </w:num>
  <w:num w:numId="20">
    <w:abstractNumId w:val="10"/>
  </w:num>
  <w:num w:numId="21">
    <w:abstractNumId w:val="5"/>
  </w:num>
  <w:num w:numId="22">
    <w:abstractNumId w:val="7"/>
  </w:num>
  <w:num w:numId="23">
    <w:abstractNumId w:val="12"/>
  </w:num>
  <w:num w:numId="24">
    <w:abstractNumId w:val="17"/>
  </w:num>
  <w:num w:numId="25">
    <w:abstractNumId w:val="14"/>
  </w:num>
  <w:num w:numId="26">
    <w:abstractNumId w:val="9"/>
  </w:num>
  <w:num w:numId="2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2MzAxNTY0sLS0NDNQ0lEKTi0uzszPAykwrAUAT2RbkywAAAA="/>
  </w:docVars>
  <w:rsids>
    <w:rsidRoot w:val="003D7858"/>
    <w:rsid w:val="00004C60"/>
    <w:rsid w:val="0000638E"/>
    <w:rsid w:val="0001216C"/>
    <w:rsid w:val="00024C88"/>
    <w:rsid w:val="000260DC"/>
    <w:rsid w:val="000262F1"/>
    <w:rsid w:val="00030E84"/>
    <w:rsid w:val="00036A4D"/>
    <w:rsid w:val="0004093A"/>
    <w:rsid w:val="00042D11"/>
    <w:rsid w:val="0004639E"/>
    <w:rsid w:val="00052293"/>
    <w:rsid w:val="00056217"/>
    <w:rsid w:val="000579B9"/>
    <w:rsid w:val="00057A15"/>
    <w:rsid w:val="00063A3A"/>
    <w:rsid w:val="00066BC3"/>
    <w:rsid w:val="00075314"/>
    <w:rsid w:val="00083064"/>
    <w:rsid w:val="0008418B"/>
    <w:rsid w:val="0008426D"/>
    <w:rsid w:val="00086EC6"/>
    <w:rsid w:val="00087811"/>
    <w:rsid w:val="000A02C9"/>
    <w:rsid w:val="000A0D33"/>
    <w:rsid w:val="000A45E9"/>
    <w:rsid w:val="000A79E6"/>
    <w:rsid w:val="000B221D"/>
    <w:rsid w:val="000B5192"/>
    <w:rsid w:val="000B7FB5"/>
    <w:rsid w:val="000C2A22"/>
    <w:rsid w:val="000D7B81"/>
    <w:rsid w:val="000E2985"/>
    <w:rsid w:val="000E44C0"/>
    <w:rsid w:val="000E44D4"/>
    <w:rsid w:val="000F4759"/>
    <w:rsid w:val="000F62AA"/>
    <w:rsid w:val="000F7804"/>
    <w:rsid w:val="00101559"/>
    <w:rsid w:val="00102241"/>
    <w:rsid w:val="0010247D"/>
    <w:rsid w:val="0010402E"/>
    <w:rsid w:val="0010795D"/>
    <w:rsid w:val="00117224"/>
    <w:rsid w:val="00117E3E"/>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65E53"/>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3D9C"/>
    <w:rsid w:val="001D7C6A"/>
    <w:rsid w:val="001E0CB6"/>
    <w:rsid w:val="001E24AA"/>
    <w:rsid w:val="001E36DF"/>
    <w:rsid w:val="001E613D"/>
    <w:rsid w:val="001E6697"/>
    <w:rsid w:val="001E6F96"/>
    <w:rsid w:val="001F4B7D"/>
    <w:rsid w:val="001F6833"/>
    <w:rsid w:val="001F7DEE"/>
    <w:rsid w:val="00203D16"/>
    <w:rsid w:val="0020681E"/>
    <w:rsid w:val="0020779F"/>
    <w:rsid w:val="00217678"/>
    <w:rsid w:val="00222319"/>
    <w:rsid w:val="002264C4"/>
    <w:rsid w:val="00241F09"/>
    <w:rsid w:val="00245A6B"/>
    <w:rsid w:val="00247CDD"/>
    <w:rsid w:val="00250110"/>
    <w:rsid w:val="0025309B"/>
    <w:rsid w:val="00253A84"/>
    <w:rsid w:val="00264295"/>
    <w:rsid w:val="00265A26"/>
    <w:rsid w:val="00265A88"/>
    <w:rsid w:val="00265CAD"/>
    <w:rsid w:val="002670F8"/>
    <w:rsid w:val="00270825"/>
    <w:rsid w:val="00270D17"/>
    <w:rsid w:val="002803C5"/>
    <w:rsid w:val="002811BB"/>
    <w:rsid w:val="00281AF9"/>
    <w:rsid w:val="0029157E"/>
    <w:rsid w:val="002937B8"/>
    <w:rsid w:val="0029441E"/>
    <w:rsid w:val="0029445D"/>
    <w:rsid w:val="002A653F"/>
    <w:rsid w:val="002A76BD"/>
    <w:rsid w:val="002A7DF4"/>
    <w:rsid w:val="002B0CE9"/>
    <w:rsid w:val="002C0C62"/>
    <w:rsid w:val="002C16FF"/>
    <w:rsid w:val="002C1EE8"/>
    <w:rsid w:val="002C5243"/>
    <w:rsid w:val="002C55C5"/>
    <w:rsid w:val="002C60A6"/>
    <w:rsid w:val="002D1424"/>
    <w:rsid w:val="002D28E0"/>
    <w:rsid w:val="002D59C2"/>
    <w:rsid w:val="002E3161"/>
    <w:rsid w:val="002E397C"/>
    <w:rsid w:val="002F4DC9"/>
    <w:rsid w:val="002F61C7"/>
    <w:rsid w:val="002F6B49"/>
    <w:rsid w:val="00300A04"/>
    <w:rsid w:val="00300C93"/>
    <w:rsid w:val="00304ED5"/>
    <w:rsid w:val="00305BF7"/>
    <w:rsid w:val="003103EA"/>
    <w:rsid w:val="00310EA1"/>
    <w:rsid w:val="00313A4B"/>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6A3A"/>
    <w:rsid w:val="00375823"/>
    <w:rsid w:val="0037732E"/>
    <w:rsid w:val="0037757B"/>
    <w:rsid w:val="00377C10"/>
    <w:rsid w:val="00387EBB"/>
    <w:rsid w:val="00394593"/>
    <w:rsid w:val="00397C84"/>
    <w:rsid w:val="003A43F7"/>
    <w:rsid w:val="003A4577"/>
    <w:rsid w:val="003A5556"/>
    <w:rsid w:val="003A66BC"/>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87842"/>
    <w:rsid w:val="00491C5B"/>
    <w:rsid w:val="00492A36"/>
    <w:rsid w:val="00493D01"/>
    <w:rsid w:val="00493F06"/>
    <w:rsid w:val="004965B4"/>
    <w:rsid w:val="00496C55"/>
    <w:rsid w:val="004A043E"/>
    <w:rsid w:val="004A5705"/>
    <w:rsid w:val="004B7E13"/>
    <w:rsid w:val="004C4F38"/>
    <w:rsid w:val="004C54F6"/>
    <w:rsid w:val="004C7B18"/>
    <w:rsid w:val="004D1934"/>
    <w:rsid w:val="004D1ED6"/>
    <w:rsid w:val="004D2BE1"/>
    <w:rsid w:val="004D74FD"/>
    <w:rsid w:val="004E0458"/>
    <w:rsid w:val="004F13A6"/>
    <w:rsid w:val="004F4369"/>
    <w:rsid w:val="00504B93"/>
    <w:rsid w:val="00506E45"/>
    <w:rsid w:val="005127E5"/>
    <w:rsid w:val="005223B8"/>
    <w:rsid w:val="005237E8"/>
    <w:rsid w:val="005249BD"/>
    <w:rsid w:val="00532713"/>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5CE2"/>
    <w:rsid w:val="006172DA"/>
    <w:rsid w:val="00620AF6"/>
    <w:rsid w:val="00620EFD"/>
    <w:rsid w:val="00621FE9"/>
    <w:rsid w:val="0062603D"/>
    <w:rsid w:val="0063048F"/>
    <w:rsid w:val="00632EDF"/>
    <w:rsid w:val="00633DA8"/>
    <w:rsid w:val="00646994"/>
    <w:rsid w:val="00653C00"/>
    <w:rsid w:val="006549ED"/>
    <w:rsid w:val="006552F7"/>
    <w:rsid w:val="0065728F"/>
    <w:rsid w:val="006623AF"/>
    <w:rsid w:val="006639B1"/>
    <w:rsid w:val="00667ADE"/>
    <w:rsid w:val="0068734A"/>
    <w:rsid w:val="006906B4"/>
    <w:rsid w:val="00691C91"/>
    <w:rsid w:val="006937BB"/>
    <w:rsid w:val="006965DC"/>
    <w:rsid w:val="00697B7E"/>
    <w:rsid w:val="006A22F3"/>
    <w:rsid w:val="006A41C9"/>
    <w:rsid w:val="006A497A"/>
    <w:rsid w:val="006A5974"/>
    <w:rsid w:val="006A5D9D"/>
    <w:rsid w:val="006B132D"/>
    <w:rsid w:val="006B3F3B"/>
    <w:rsid w:val="006B438D"/>
    <w:rsid w:val="006B5024"/>
    <w:rsid w:val="006C5CFF"/>
    <w:rsid w:val="006C6646"/>
    <w:rsid w:val="006D68DE"/>
    <w:rsid w:val="006E3002"/>
    <w:rsid w:val="006E3244"/>
    <w:rsid w:val="006E7CFE"/>
    <w:rsid w:val="006F3A6E"/>
    <w:rsid w:val="006F5790"/>
    <w:rsid w:val="007001DD"/>
    <w:rsid w:val="00702601"/>
    <w:rsid w:val="00702F9A"/>
    <w:rsid w:val="00703DAD"/>
    <w:rsid w:val="00706CA8"/>
    <w:rsid w:val="00707E92"/>
    <w:rsid w:val="0071277F"/>
    <w:rsid w:val="007141FA"/>
    <w:rsid w:val="00714E5D"/>
    <w:rsid w:val="00714E82"/>
    <w:rsid w:val="0071591A"/>
    <w:rsid w:val="00716D6B"/>
    <w:rsid w:val="007170F5"/>
    <w:rsid w:val="0073126D"/>
    <w:rsid w:val="0073173A"/>
    <w:rsid w:val="0073499F"/>
    <w:rsid w:val="00740B88"/>
    <w:rsid w:val="00743818"/>
    <w:rsid w:val="00743B02"/>
    <w:rsid w:val="00744BEC"/>
    <w:rsid w:val="00744E34"/>
    <w:rsid w:val="007477E0"/>
    <w:rsid w:val="0075414E"/>
    <w:rsid w:val="00755ED4"/>
    <w:rsid w:val="00760361"/>
    <w:rsid w:val="00762D5D"/>
    <w:rsid w:val="00763A07"/>
    <w:rsid w:val="00766859"/>
    <w:rsid w:val="00766ABE"/>
    <w:rsid w:val="00766ADD"/>
    <w:rsid w:val="00770DA0"/>
    <w:rsid w:val="00774452"/>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28F9"/>
    <w:rsid w:val="00824D7E"/>
    <w:rsid w:val="00833D13"/>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3675"/>
    <w:rsid w:val="008D4FC0"/>
    <w:rsid w:val="008D633E"/>
    <w:rsid w:val="008D7FB2"/>
    <w:rsid w:val="008E1777"/>
    <w:rsid w:val="008E5F73"/>
    <w:rsid w:val="008F059F"/>
    <w:rsid w:val="008F1910"/>
    <w:rsid w:val="008F42DA"/>
    <w:rsid w:val="008F5418"/>
    <w:rsid w:val="0090025D"/>
    <w:rsid w:val="0090251A"/>
    <w:rsid w:val="009033B5"/>
    <w:rsid w:val="00905FB9"/>
    <w:rsid w:val="009067F7"/>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3F30"/>
    <w:rsid w:val="009642B8"/>
    <w:rsid w:val="00964C7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076A"/>
    <w:rsid w:val="009F26C5"/>
    <w:rsid w:val="009F3FAA"/>
    <w:rsid w:val="009F5D4E"/>
    <w:rsid w:val="009F6FEA"/>
    <w:rsid w:val="00A009CF"/>
    <w:rsid w:val="00A0228E"/>
    <w:rsid w:val="00A03866"/>
    <w:rsid w:val="00A03F44"/>
    <w:rsid w:val="00A04427"/>
    <w:rsid w:val="00A05B4B"/>
    <w:rsid w:val="00A10CD4"/>
    <w:rsid w:val="00A140FF"/>
    <w:rsid w:val="00A173E2"/>
    <w:rsid w:val="00A22634"/>
    <w:rsid w:val="00A24E7A"/>
    <w:rsid w:val="00A31100"/>
    <w:rsid w:val="00A35E21"/>
    <w:rsid w:val="00A37101"/>
    <w:rsid w:val="00A37621"/>
    <w:rsid w:val="00A43212"/>
    <w:rsid w:val="00A4607B"/>
    <w:rsid w:val="00A51526"/>
    <w:rsid w:val="00A53CDA"/>
    <w:rsid w:val="00A55B89"/>
    <w:rsid w:val="00A63C6F"/>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39D1"/>
    <w:rsid w:val="00AB51D8"/>
    <w:rsid w:val="00AC05FC"/>
    <w:rsid w:val="00AC2325"/>
    <w:rsid w:val="00AC4066"/>
    <w:rsid w:val="00AC588D"/>
    <w:rsid w:val="00AC5AB2"/>
    <w:rsid w:val="00AD1373"/>
    <w:rsid w:val="00AD2B1D"/>
    <w:rsid w:val="00AD7E6B"/>
    <w:rsid w:val="00AE0682"/>
    <w:rsid w:val="00AE3241"/>
    <w:rsid w:val="00B02C57"/>
    <w:rsid w:val="00B10FD3"/>
    <w:rsid w:val="00B122E9"/>
    <w:rsid w:val="00B12389"/>
    <w:rsid w:val="00B16C29"/>
    <w:rsid w:val="00B25D9E"/>
    <w:rsid w:val="00B27C5D"/>
    <w:rsid w:val="00B30C6E"/>
    <w:rsid w:val="00B3246D"/>
    <w:rsid w:val="00B32FD8"/>
    <w:rsid w:val="00B41483"/>
    <w:rsid w:val="00B4178D"/>
    <w:rsid w:val="00B42D63"/>
    <w:rsid w:val="00B43DD3"/>
    <w:rsid w:val="00B4760C"/>
    <w:rsid w:val="00B57C9C"/>
    <w:rsid w:val="00B64A91"/>
    <w:rsid w:val="00B757E2"/>
    <w:rsid w:val="00B8067B"/>
    <w:rsid w:val="00B84F03"/>
    <w:rsid w:val="00B8505E"/>
    <w:rsid w:val="00B85F42"/>
    <w:rsid w:val="00B93D55"/>
    <w:rsid w:val="00B943F8"/>
    <w:rsid w:val="00B946A7"/>
    <w:rsid w:val="00B9731E"/>
    <w:rsid w:val="00BA0B15"/>
    <w:rsid w:val="00BB2D2A"/>
    <w:rsid w:val="00BC0761"/>
    <w:rsid w:val="00BC0884"/>
    <w:rsid w:val="00BC6170"/>
    <w:rsid w:val="00BD1428"/>
    <w:rsid w:val="00BD2317"/>
    <w:rsid w:val="00BD314D"/>
    <w:rsid w:val="00BE0098"/>
    <w:rsid w:val="00BE1AAF"/>
    <w:rsid w:val="00BE2524"/>
    <w:rsid w:val="00BE7A05"/>
    <w:rsid w:val="00BF0299"/>
    <w:rsid w:val="00BF7A76"/>
    <w:rsid w:val="00C070E1"/>
    <w:rsid w:val="00C12EBA"/>
    <w:rsid w:val="00C276B4"/>
    <w:rsid w:val="00C31C40"/>
    <w:rsid w:val="00C34070"/>
    <w:rsid w:val="00C357BA"/>
    <w:rsid w:val="00C3677B"/>
    <w:rsid w:val="00C37245"/>
    <w:rsid w:val="00C37956"/>
    <w:rsid w:val="00C42323"/>
    <w:rsid w:val="00C441E6"/>
    <w:rsid w:val="00C45603"/>
    <w:rsid w:val="00C50064"/>
    <w:rsid w:val="00C5283C"/>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A6331"/>
    <w:rsid w:val="00CB1096"/>
    <w:rsid w:val="00CB4850"/>
    <w:rsid w:val="00CB5B44"/>
    <w:rsid w:val="00CB6F79"/>
    <w:rsid w:val="00CB7FE9"/>
    <w:rsid w:val="00CC0CBD"/>
    <w:rsid w:val="00CC52EC"/>
    <w:rsid w:val="00CC53DC"/>
    <w:rsid w:val="00CC7865"/>
    <w:rsid w:val="00CD33AB"/>
    <w:rsid w:val="00CD33FE"/>
    <w:rsid w:val="00CD48D9"/>
    <w:rsid w:val="00CE068B"/>
    <w:rsid w:val="00CE323E"/>
    <w:rsid w:val="00CF0B4E"/>
    <w:rsid w:val="00D00C74"/>
    <w:rsid w:val="00D03C85"/>
    <w:rsid w:val="00D0621E"/>
    <w:rsid w:val="00D066CD"/>
    <w:rsid w:val="00D104BB"/>
    <w:rsid w:val="00D114C4"/>
    <w:rsid w:val="00D167B0"/>
    <w:rsid w:val="00D26C9A"/>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41ED"/>
    <w:rsid w:val="00D95878"/>
    <w:rsid w:val="00D958B5"/>
    <w:rsid w:val="00DA34D8"/>
    <w:rsid w:val="00DA413E"/>
    <w:rsid w:val="00DA48EA"/>
    <w:rsid w:val="00DA76F7"/>
    <w:rsid w:val="00DB0A5E"/>
    <w:rsid w:val="00DB3DE6"/>
    <w:rsid w:val="00DB449E"/>
    <w:rsid w:val="00DB497C"/>
    <w:rsid w:val="00DB7628"/>
    <w:rsid w:val="00DC256F"/>
    <w:rsid w:val="00DC28A1"/>
    <w:rsid w:val="00DC3665"/>
    <w:rsid w:val="00DD26A3"/>
    <w:rsid w:val="00DD4DA0"/>
    <w:rsid w:val="00DD6D16"/>
    <w:rsid w:val="00DE0865"/>
    <w:rsid w:val="00DE11B7"/>
    <w:rsid w:val="00DE6F6F"/>
    <w:rsid w:val="00DE7710"/>
    <w:rsid w:val="00DF020C"/>
    <w:rsid w:val="00DF55B9"/>
    <w:rsid w:val="00E005D0"/>
    <w:rsid w:val="00E02103"/>
    <w:rsid w:val="00E103E5"/>
    <w:rsid w:val="00E10E6A"/>
    <w:rsid w:val="00E17428"/>
    <w:rsid w:val="00E21B37"/>
    <w:rsid w:val="00E23089"/>
    <w:rsid w:val="00E27922"/>
    <w:rsid w:val="00E30ADD"/>
    <w:rsid w:val="00E33981"/>
    <w:rsid w:val="00E34FBD"/>
    <w:rsid w:val="00E360EA"/>
    <w:rsid w:val="00E37034"/>
    <w:rsid w:val="00E4494B"/>
    <w:rsid w:val="00E45CA8"/>
    <w:rsid w:val="00E50360"/>
    <w:rsid w:val="00E551C0"/>
    <w:rsid w:val="00E601E4"/>
    <w:rsid w:val="00E67736"/>
    <w:rsid w:val="00E702A2"/>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4B73"/>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F6D07"/>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TableGrid1">
    <w:name w:val="Table Grid1"/>
    <w:basedOn w:val="TableNormal"/>
    <w:next w:val="TableGrid"/>
    <w:rsid w:val="00AB39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B34C-AD29-46C8-B238-38F2EB0A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4996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Michael  Plaatjies</cp:lastModifiedBy>
  <cp:revision>2</cp:revision>
  <cp:lastPrinted>2018-05-07T08:20:00Z</cp:lastPrinted>
  <dcterms:created xsi:type="dcterms:W3CDTF">2018-05-24T15:43:00Z</dcterms:created>
  <dcterms:modified xsi:type="dcterms:W3CDTF">2018-05-24T15:43:00Z</dcterms:modified>
</cp:coreProperties>
</file>