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DD" w:rsidRDefault="00E94770" w:rsidP="00B511DD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CF2EA8">
        <w:rPr>
          <w:rFonts w:eastAsia="Times New Roman"/>
          <w:b/>
          <w:lang w:val="en-GB" w:eastAsia="en-US"/>
        </w:rPr>
        <w:t>1</w:t>
      </w:r>
      <w:r w:rsidR="005B14CF">
        <w:rPr>
          <w:rFonts w:eastAsia="Times New Roman"/>
          <w:b/>
          <w:lang w:val="en-GB" w:eastAsia="en-US"/>
        </w:rPr>
        <w:t>217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B14CF">
        <w:rPr>
          <w:rFonts w:eastAsia="Times New Roman"/>
          <w:b/>
          <w:lang w:val="en-GB" w:eastAsia="en-US"/>
        </w:rPr>
        <w:t>1</w:t>
      </w:r>
      <w:r w:rsidR="00E50EE9">
        <w:rPr>
          <w:rFonts w:eastAsia="Times New Roman"/>
          <w:b/>
          <w:lang w:val="en-GB" w:eastAsia="en-US"/>
        </w:rPr>
        <w:t>2</w:t>
      </w:r>
      <w:r w:rsidR="005B14CF">
        <w:rPr>
          <w:rFonts w:eastAsia="Times New Roman"/>
          <w:b/>
          <w:lang w:val="en-GB" w:eastAsia="en-US"/>
        </w:rPr>
        <w:t xml:space="preserve"> JUNE </w:t>
      </w:r>
      <w:r w:rsidRPr="00521B42">
        <w:rPr>
          <w:rFonts w:eastAsia="Times New Roman"/>
          <w:b/>
          <w:lang w:val="en-GB" w:eastAsia="en-US"/>
        </w:rPr>
        <w:t>2020</w:t>
      </w:r>
    </w:p>
    <w:p w:rsidR="005B14CF" w:rsidRPr="00D456B6" w:rsidRDefault="005B14CF" w:rsidP="005B14CF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D456B6">
        <w:rPr>
          <w:b/>
        </w:rPr>
        <w:t xml:space="preserve">Ms H S Winkler (DA) to ask the Minister of Human </w:t>
      </w:r>
      <w:r w:rsidRPr="00D36965">
        <w:rPr>
          <w:b/>
          <w:lang w:val="en-GB"/>
        </w:rPr>
        <w:t>Settlements</w:t>
      </w:r>
      <w:r w:rsidRPr="00D456B6">
        <w:rPr>
          <w:b/>
        </w:rPr>
        <w:t>, Water and Sanitation</w:t>
      </w:r>
      <w:r>
        <w:rPr>
          <w:b/>
        </w:rPr>
        <w:fldChar w:fldCharType="begin"/>
      </w:r>
      <w:r>
        <w:instrText xml:space="preserve"> XE "</w:instrText>
      </w:r>
      <w:r w:rsidRPr="006C3CB2">
        <w:rPr>
          <w:b/>
        </w:rPr>
        <w:instrText xml:space="preserve">Human </w:instrText>
      </w:r>
      <w:r w:rsidRPr="006C3CB2">
        <w:rPr>
          <w:b/>
          <w:lang w:val="en-GB"/>
        </w:rPr>
        <w:instrText>Settlements</w:instrText>
      </w:r>
      <w:r w:rsidRPr="006C3CB2">
        <w:rPr>
          <w:b/>
        </w:rPr>
        <w:instrText>, Water and Sanitation</w:instrText>
      </w:r>
      <w:r>
        <w:instrText xml:space="preserve">" </w:instrText>
      </w:r>
      <w:r>
        <w:rPr>
          <w:b/>
        </w:rPr>
        <w:fldChar w:fldCharType="end"/>
      </w:r>
      <w:r w:rsidRPr="00D456B6">
        <w:rPr>
          <w:b/>
        </w:rPr>
        <w:t>:</w:t>
      </w:r>
    </w:p>
    <w:p w:rsidR="005B14CF" w:rsidRPr="00D456B6" w:rsidRDefault="005B14CF" w:rsidP="005B14CF">
      <w:pPr>
        <w:spacing w:before="100" w:beforeAutospacing="1" w:after="100" w:afterAutospacing="1"/>
        <w:jc w:val="both"/>
        <w:rPr>
          <w:lang w:val="en-GB"/>
        </w:rPr>
      </w:pPr>
      <w:r w:rsidRPr="00D456B6">
        <w:t>Whether she has been informed that the eThekwini Metropolitan Municipality has been unable to enforce environmental legislation in terms of the National Water Act, Act 36 of 1998, citing a lack of funding and resources to address the pollution of the Umbilo River, Palmiet River and Umgeni River which is posing serious health risks to residents and decimating river ecosystems; if not, what is the position in this regard; if so, what steps has she taken to assist the municipality to enforce environmental legislation</w:t>
      </w:r>
      <w:r w:rsidRPr="00D456B6">
        <w:rPr>
          <w:lang w:val="en-GB"/>
        </w:rPr>
        <w:t>?</w:t>
      </w:r>
      <w:r w:rsidRPr="00D456B6">
        <w:rPr>
          <w:lang w:val="en-GB"/>
        </w:rPr>
        <w:tab/>
      </w:r>
      <w:r w:rsidRPr="00D456B6">
        <w:rPr>
          <w:lang w:val="en-GB"/>
        </w:rPr>
        <w:tab/>
      </w:r>
      <w:r w:rsidRPr="00D456B6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r w:rsidRPr="00DF6D69">
        <w:rPr>
          <w:sz w:val="20"/>
          <w:szCs w:val="20"/>
          <w:lang w:val="en-GB"/>
        </w:rPr>
        <w:t>NW1522E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544EDE" w:rsidRPr="00EB5C69" w:rsidRDefault="00544EDE" w:rsidP="00544EDE">
      <w:pPr>
        <w:spacing w:line="320" w:lineRule="atLeast"/>
        <w:jc w:val="both"/>
        <w:rPr>
          <w:lang w:val="en-GB"/>
        </w:rPr>
      </w:pPr>
      <w:r w:rsidRPr="00EB5C69">
        <w:t xml:space="preserve">The Department of Water and Sanitation (DWS) is aware that challenges have been experienced with the quality of effluent quality from the Umbilo Waste Water Treatment Works. </w:t>
      </w:r>
      <w:r w:rsidRPr="00EB5C69">
        <w:rPr>
          <w:lang w:val="en-GB"/>
        </w:rPr>
        <w:t xml:space="preserve">There have also been issues of non-compliance and pollution incidents with respect to the Umbilo, Palmiet and Umngeni Rivers. The eThekwini Metropolitan </w:t>
      </w:r>
      <w:r>
        <w:rPr>
          <w:lang w:val="en-GB"/>
        </w:rPr>
        <w:t xml:space="preserve">Municipality </w:t>
      </w:r>
      <w:r w:rsidRPr="00EB5C69">
        <w:rPr>
          <w:lang w:val="en-GB"/>
        </w:rPr>
        <w:t xml:space="preserve">have addressed most of the concerns after </w:t>
      </w:r>
      <w:r>
        <w:rPr>
          <w:lang w:val="en-GB"/>
        </w:rPr>
        <w:t xml:space="preserve">my department </w:t>
      </w:r>
      <w:r w:rsidRPr="00EB5C69">
        <w:rPr>
          <w:lang w:val="en-GB"/>
        </w:rPr>
        <w:t>issued Notices and Directives as follows:</w:t>
      </w:r>
    </w:p>
    <w:p w:rsidR="00544EDE" w:rsidRPr="00EB5C69" w:rsidRDefault="00544EDE" w:rsidP="00544EDE">
      <w:pPr>
        <w:spacing w:line="320" w:lineRule="atLeast"/>
        <w:ind w:left="720"/>
        <w:jc w:val="both"/>
        <w:rPr>
          <w:lang w:val="en-GB"/>
        </w:rPr>
      </w:pPr>
    </w:p>
    <w:p w:rsidR="00544EDE" w:rsidRPr="00EB5C69" w:rsidRDefault="00544EDE" w:rsidP="00544EDE">
      <w:pPr>
        <w:numPr>
          <w:ilvl w:val="0"/>
          <w:numId w:val="11"/>
        </w:numPr>
        <w:tabs>
          <w:tab w:val="left" w:pos="1134"/>
        </w:tabs>
        <w:spacing w:line="320" w:lineRule="atLeast"/>
        <w:jc w:val="both"/>
        <w:rPr>
          <w:lang w:val="en-GB"/>
        </w:rPr>
      </w:pPr>
      <w:r w:rsidRPr="00EB5C69">
        <w:rPr>
          <w:b/>
          <w:lang w:val="en-GB"/>
        </w:rPr>
        <w:t>Umbilo River</w:t>
      </w:r>
      <w:r w:rsidRPr="00EB5C69">
        <w:rPr>
          <w:lang w:val="en-GB"/>
        </w:rPr>
        <w:t xml:space="preserve"> - Three (3) Non-Compliance Notices were issued in 2019 on 26 September, 25 November and 13 December. Another notice was issued on 10 June 2020. </w:t>
      </w:r>
    </w:p>
    <w:p w:rsidR="00544EDE" w:rsidRPr="00EB5C69" w:rsidRDefault="00544EDE" w:rsidP="00544EDE">
      <w:pPr>
        <w:numPr>
          <w:ilvl w:val="0"/>
          <w:numId w:val="11"/>
        </w:numPr>
        <w:tabs>
          <w:tab w:val="left" w:pos="1134"/>
        </w:tabs>
        <w:spacing w:line="320" w:lineRule="atLeast"/>
        <w:jc w:val="both"/>
        <w:rPr>
          <w:lang w:val="en-GB"/>
        </w:rPr>
      </w:pPr>
      <w:r w:rsidRPr="00EB5C69">
        <w:rPr>
          <w:b/>
          <w:lang w:val="en-GB"/>
        </w:rPr>
        <w:t>Palmiet River</w:t>
      </w:r>
      <w:r w:rsidRPr="00EB5C69">
        <w:rPr>
          <w:lang w:val="en-GB"/>
        </w:rPr>
        <w:t xml:space="preserve"> - Non-Compliance Notice were issued in 2018, related to surcharging manholes</w:t>
      </w:r>
    </w:p>
    <w:p w:rsidR="00544EDE" w:rsidRPr="00EB5C69" w:rsidRDefault="00544EDE" w:rsidP="00544EDE">
      <w:pPr>
        <w:numPr>
          <w:ilvl w:val="0"/>
          <w:numId w:val="11"/>
        </w:numPr>
        <w:tabs>
          <w:tab w:val="left" w:pos="1134"/>
        </w:tabs>
        <w:spacing w:line="320" w:lineRule="atLeast"/>
        <w:jc w:val="both"/>
      </w:pPr>
      <w:r w:rsidRPr="00EB5C69">
        <w:rPr>
          <w:b/>
          <w:lang w:val="en-GB"/>
        </w:rPr>
        <w:t>Umngeni River</w:t>
      </w:r>
      <w:r w:rsidRPr="00EB5C69">
        <w:rPr>
          <w:lang w:val="en-GB"/>
        </w:rPr>
        <w:t xml:space="preserve"> - A Non-Compliance Notice was issued on 12 September 2019, related to surcharging manholes and sewer overflow from a pump station</w:t>
      </w:r>
    </w:p>
    <w:p w:rsidR="00544EDE" w:rsidRPr="00EB5C69" w:rsidRDefault="00544EDE" w:rsidP="00544EDE">
      <w:pPr>
        <w:spacing w:line="320" w:lineRule="atLeast"/>
        <w:jc w:val="both"/>
      </w:pPr>
    </w:p>
    <w:p w:rsidR="00544EDE" w:rsidRPr="00EB5C69" w:rsidRDefault="00544EDE" w:rsidP="00544EDE">
      <w:pPr>
        <w:spacing w:line="320" w:lineRule="atLeast"/>
        <w:jc w:val="both"/>
      </w:pPr>
      <w:r w:rsidRPr="00EB5C69">
        <w:t xml:space="preserve">The pollution of the Umbilo River occurred as a result of outstanding mechanical and electrical repairs due to budget challenges. Upon engagement with the DWS, the eThekwini Metropolitan Municipality has indicated that a process is now underway to appoint service providers urgently to </w:t>
      </w:r>
      <w:r w:rsidRPr="00EB5C69">
        <w:lastRenderedPageBreak/>
        <w:t xml:space="preserve">undertake the necessary repairs which should be completed in August. The budgets constraints that were experienced towards the end of </w:t>
      </w:r>
      <w:r>
        <w:t xml:space="preserve">the </w:t>
      </w:r>
      <w:r w:rsidRPr="00EB5C69">
        <w:t xml:space="preserve">last financial year (2019/2020) have been resolved with the beginning of the 2020/21 financial year. </w:t>
      </w: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91" w:rsidRDefault="00497B91" w:rsidP="00DD601E">
      <w:r>
        <w:separator/>
      </w:r>
    </w:p>
  </w:endnote>
  <w:endnote w:type="continuationSeparator" w:id="0">
    <w:p w:rsidR="00497B91" w:rsidRDefault="00497B91" w:rsidP="00D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91" w:rsidRDefault="00497B91" w:rsidP="00DD601E">
      <w:r>
        <w:separator/>
      </w:r>
    </w:p>
  </w:footnote>
  <w:footnote w:type="continuationSeparator" w:id="0">
    <w:p w:rsidR="00497B91" w:rsidRDefault="00497B91" w:rsidP="00D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E50EE9">
      <w:rPr>
        <w:rFonts w:ascii="Times New Roman" w:hAnsi="Times New Roman"/>
        <w:lang w:val="en-US"/>
      </w:rPr>
      <w:t>1</w:t>
    </w:r>
    <w:r w:rsidR="005B14CF">
      <w:rPr>
        <w:rFonts w:ascii="Times New Roman" w:hAnsi="Times New Roman"/>
        <w:lang w:val="en-US"/>
      </w:rPr>
      <w:t>217</w:t>
    </w:r>
    <w:r w:rsidR="00521B42" w:rsidRPr="000544CB">
      <w:rPr>
        <w:rFonts w:ascii="Times New Roman" w:hAnsi="Times New Roman"/>
        <w:lang w:val="en-US"/>
      </w:rPr>
      <w:t xml:space="preserve"> for oral 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825"/>
    <w:multiLevelType w:val="hybridMultilevel"/>
    <w:tmpl w:val="2A6A8E1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84CFB"/>
    <w:multiLevelType w:val="hybridMultilevel"/>
    <w:tmpl w:val="3C4C9A60"/>
    <w:lvl w:ilvl="0" w:tplc="2E10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9"/>
    <w:rsid w:val="000043EC"/>
    <w:rsid w:val="0002619F"/>
    <w:rsid w:val="0004342F"/>
    <w:rsid w:val="00050D14"/>
    <w:rsid w:val="00051FEC"/>
    <w:rsid w:val="000544CB"/>
    <w:rsid w:val="0005592E"/>
    <w:rsid w:val="0007494B"/>
    <w:rsid w:val="00084B00"/>
    <w:rsid w:val="000A42A5"/>
    <w:rsid w:val="000B6158"/>
    <w:rsid w:val="000D5D62"/>
    <w:rsid w:val="000D7A36"/>
    <w:rsid w:val="00102DF9"/>
    <w:rsid w:val="0010446E"/>
    <w:rsid w:val="001160A6"/>
    <w:rsid w:val="001310C6"/>
    <w:rsid w:val="00140A7D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5B53"/>
    <w:rsid w:val="001D39EC"/>
    <w:rsid w:val="001E0063"/>
    <w:rsid w:val="001E1F2D"/>
    <w:rsid w:val="001E39F3"/>
    <w:rsid w:val="001F726A"/>
    <w:rsid w:val="00201CE4"/>
    <w:rsid w:val="0020655D"/>
    <w:rsid w:val="00214579"/>
    <w:rsid w:val="00220DCF"/>
    <w:rsid w:val="00221806"/>
    <w:rsid w:val="00225D85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698C"/>
    <w:rsid w:val="003564D0"/>
    <w:rsid w:val="00361ED7"/>
    <w:rsid w:val="0037224B"/>
    <w:rsid w:val="0037336E"/>
    <w:rsid w:val="00377A43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35C84"/>
    <w:rsid w:val="00437A05"/>
    <w:rsid w:val="004620FD"/>
    <w:rsid w:val="0046595E"/>
    <w:rsid w:val="0046678A"/>
    <w:rsid w:val="0048535C"/>
    <w:rsid w:val="00495D9F"/>
    <w:rsid w:val="00497B91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4EDE"/>
    <w:rsid w:val="00550CD4"/>
    <w:rsid w:val="00565757"/>
    <w:rsid w:val="00590C03"/>
    <w:rsid w:val="005A1C92"/>
    <w:rsid w:val="005B14CF"/>
    <w:rsid w:val="005B32B4"/>
    <w:rsid w:val="005D7535"/>
    <w:rsid w:val="005F0EA7"/>
    <w:rsid w:val="0060314C"/>
    <w:rsid w:val="006137AC"/>
    <w:rsid w:val="00623AC6"/>
    <w:rsid w:val="00626752"/>
    <w:rsid w:val="00640BF5"/>
    <w:rsid w:val="0065000E"/>
    <w:rsid w:val="00650CC8"/>
    <w:rsid w:val="006650FB"/>
    <w:rsid w:val="006662AB"/>
    <w:rsid w:val="0067148F"/>
    <w:rsid w:val="00674A50"/>
    <w:rsid w:val="006E7915"/>
    <w:rsid w:val="006E79FE"/>
    <w:rsid w:val="006F4BD2"/>
    <w:rsid w:val="006F74D3"/>
    <w:rsid w:val="007016B8"/>
    <w:rsid w:val="00701F2A"/>
    <w:rsid w:val="00730586"/>
    <w:rsid w:val="0073418C"/>
    <w:rsid w:val="0074602B"/>
    <w:rsid w:val="00754A9C"/>
    <w:rsid w:val="007A473E"/>
    <w:rsid w:val="007D7842"/>
    <w:rsid w:val="007D7D18"/>
    <w:rsid w:val="007F0EA1"/>
    <w:rsid w:val="007F53FB"/>
    <w:rsid w:val="007F58E5"/>
    <w:rsid w:val="0082294C"/>
    <w:rsid w:val="00823C33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63846"/>
    <w:rsid w:val="00970A9C"/>
    <w:rsid w:val="00976209"/>
    <w:rsid w:val="00977AC3"/>
    <w:rsid w:val="00982E04"/>
    <w:rsid w:val="0098455D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327AA"/>
    <w:rsid w:val="00A60E9A"/>
    <w:rsid w:val="00A64F04"/>
    <w:rsid w:val="00A76E09"/>
    <w:rsid w:val="00AB78D5"/>
    <w:rsid w:val="00AC313B"/>
    <w:rsid w:val="00AD00AF"/>
    <w:rsid w:val="00AE7A8B"/>
    <w:rsid w:val="00AF79AE"/>
    <w:rsid w:val="00B1301C"/>
    <w:rsid w:val="00B15583"/>
    <w:rsid w:val="00B22EEA"/>
    <w:rsid w:val="00B313AE"/>
    <w:rsid w:val="00B511DD"/>
    <w:rsid w:val="00B51816"/>
    <w:rsid w:val="00B6332A"/>
    <w:rsid w:val="00B7210B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D748B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738B"/>
    <w:rsid w:val="00DE6CA0"/>
    <w:rsid w:val="00DF5E83"/>
    <w:rsid w:val="00DF6A74"/>
    <w:rsid w:val="00E162FE"/>
    <w:rsid w:val="00E2041A"/>
    <w:rsid w:val="00E50EE9"/>
    <w:rsid w:val="00E543FB"/>
    <w:rsid w:val="00E64FC8"/>
    <w:rsid w:val="00E6796A"/>
    <w:rsid w:val="00E874FF"/>
    <w:rsid w:val="00E92B72"/>
    <w:rsid w:val="00E94770"/>
    <w:rsid w:val="00E94BFB"/>
    <w:rsid w:val="00EA4033"/>
    <w:rsid w:val="00EA434E"/>
    <w:rsid w:val="00EB5C69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593B"/>
    <w:rsid w:val="00F55719"/>
    <w:rsid w:val="00F76057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FD0AF-71EB-419A-BE94-ACCC142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Ntombeswazi Taitai</dc:creator>
  <cp:keywords/>
  <cp:lastModifiedBy>Nikiwe Ncetezo</cp:lastModifiedBy>
  <cp:revision>2</cp:revision>
  <cp:lastPrinted>2020-03-10T16:25:00Z</cp:lastPrinted>
  <dcterms:created xsi:type="dcterms:W3CDTF">2020-07-27T17:33:00Z</dcterms:created>
  <dcterms:modified xsi:type="dcterms:W3CDTF">2020-07-27T17:33:00Z</dcterms:modified>
</cp:coreProperties>
</file>