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F7" w:rsidRDefault="009A6918">
      <w:pPr>
        <w:pStyle w:val="BodyText"/>
        <w:spacing w:before="0"/>
        <w:ind w:left="313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041728" cy="13497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728" cy="134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F7" w:rsidRDefault="005D43F7">
      <w:pPr>
        <w:pStyle w:val="BodyText"/>
        <w:spacing w:before="0"/>
        <w:rPr>
          <w:rFonts w:ascii="Times New Roman"/>
          <w:sz w:val="23"/>
        </w:rPr>
      </w:pPr>
    </w:p>
    <w:p w:rsidR="005D43F7" w:rsidRDefault="009A6918">
      <w:pPr>
        <w:pStyle w:val="BodyText"/>
        <w:spacing w:before="94"/>
        <w:ind w:left="987" w:right="1002"/>
        <w:jc w:val="center"/>
      </w:pPr>
      <w:r>
        <w:t>Private Bag X893, Pretoria, 0001, Tel: 012 312 5555, Fax: 012 323 5618</w:t>
      </w:r>
    </w:p>
    <w:p w:rsidR="005D43F7" w:rsidRDefault="009A6918">
      <w:pPr>
        <w:pStyle w:val="BodyText"/>
        <w:spacing w:before="37"/>
        <w:ind w:left="987" w:right="1005"/>
        <w:jc w:val="center"/>
      </w:pPr>
      <w:r>
        <w:t>Private Bag X9192, Cape Town, 8000, Tel: 021 469 5150, Fax: 021 465 7956</w:t>
      </w:r>
    </w:p>
    <w:p w:rsidR="005D43F7" w:rsidRDefault="005D43F7">
      <w:pPr>
        <w:pStyle w:val="BodyText"/>
        <w:spacing w:before="2"/>
        <w:rPr>
          <w:sz w:val="18"/>
        </w:rPr>
      </w:pPr>
      <w:r w:rsidRPr="005D43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25pt;margin-top:12.7pt;width:467.6pt;height:25.6pt;z-index:-251658752;mso-wrap-distance-left:0;mso-wrap-distance-right:0;mso-position-horizontal-relative:page" filled="f" strokecolor="#00af50" strokeweight=".48pt">
            <v:textbox inset="0,0,0,0">
              <w:txbxContent>
                <w:p w:rsidR="005D43F7" w:rsidRDefault="009A6918">
                  <w:pPr>
                    <w:spacing w:before="117"/>
                    <w:ind w:left="1816"/>
                    <w:rPr>
                      <w:b/>
                    </w:rPr>
                  </w:pPr>
                  <w:r>
                    <w:rPr>
                      <w:b/>
                    </w:rPr>
                    <w:t>MEMORANDUM FROM THE PARLIAMENTARY OFFICE</w:t>
                  </w:r>
                </w:p>
              </w:txbxContent>
            </v:textbox>
            <w10:wrap type="topAndBottom" anchorx="page"/>
          </v:shape>
        </w:pict>
      </w:r>
    </w:p>
    <w:p w:rsidR="005D43F7" w:rsidRDefault="005D43F7">
      <w:pPr>
        <w:pStyle w:val="BodyText"/>
        <w:spacing w:before="9"/>
        <w:rPr>
          <w:sz w:val="9"/>
        </w:rPr>
      </w:pPr>
    </w:p>
    <w:p w:rsidR="005D43F7" w:rsidRDefault="009A6918">
      <w:pPr>
        <w:pStyle w:val="Heading1"/>
        <w:spacing w:before="93" w:line="549" w:lineRule="auto"/>
        <w:ind w:left="3571" w:right="3587"/>
        <w:jc w:val="center"/>
      </w:pPr>
      <w:r>
        <w:t>NATIONAL ASSEMBLY FOR WRITTEN REPLY QUESTION 1217</w:t>
      </w:r>
    </w:p>
    <w:p w:rsidR="005D43F7" w:rsidRDefault="009A6918">
      <w:pPr>
        <w:spacing w:line="253" w:lineRule="exact"/>
        <w:ind w:left="1113"/>
        <w:rPr>
          <w:b/>
        </w:rPr>
      </w:pPr>
      <w:r>
        <w:rPr>
          <w:b/>
        </w:rPr>
        <w:t>DATE OF PUBLICATION OF INTERNAL QUESTION PAPER: 25/10/2019</w:t>
      </w:r>
    </w:p>
    <w:p w:rsidR="005D43F7" w:rsidRDefault="005D43F7">
      <w:pPr>
        <w:pStyle w:val="BodyText"/>
        <w:spacing w:before="6"/>
        <w:rPr>
          <w:b/>
          <w:sz w:val="28"/>
        </w:rPr>
      </w:pPr>
    </w:p>
    <w:p w:rsidR="005D43F7" w:rsidRDefault="009A6918">
      <w:pPr>
        <w:ind w:left="2402"/>
        <w:rPr>
          <w:b/>
        </w:rPr>
      </w:pPr>
      <w:r>
        <w:rPr>
          <w:b/>
        </w:rPr>
        <w:t>INTERNAL QUESTION PAPER NO 22 OF 2019</w:t>
      </w:r>
    </w:p>
    <w:p w:rsidR="005D43F7" w:rsidRDefault="005D43F7">
      <w:pPr>
        <w:pStyle w:val="BodyText"/>
        <w:spacing w:before="5"/>
        <w:rPr>
          <w:b/>
          <w:sz w:val="21"/>
        </w:rPr>
      </w:pPr>
    </w:p>
    <w:p w:rsidR="005D43F7" w:rsidRDefault="009A6918">
      <w:pPr>
        <w:ind w:left="100"/>
        <w:rPr>
          <w:b/>
        </w:rPr>
      </w:pPr>
      <w:proofErr w:type="spellStart"/>
      <w:r>
        <w:rPr>
          <w:b/>
        </w:rPr>
        <w:t>Mrs</w:t>
      </w:r>
      <w:proofErr w:type="spellEnd"/>
      <w:r>
        <w:rPr>
          <w:b/>
        </w:rPr>
        <w:t xml:space="preserve"> G </w:t>
      </w:r>
      <w:proofErr w:type="spellStart"/>
      <w:r>
        <w:rPr>
          <w:b/>
        </w:rPr>
        <w:t>Opperman</w:t>
      </w:r>
      <w:proofErr w:type="spellEnd"/>
      <w:r>
        <w:rPr>
          <w:b/>
        </w:rPr>
        <w:t xml:space="preserve"> (DA) to ask the Minister of Higher Education and Training:</w:t>
      </w:r>
    </w:p>
    <w:p w:rsidR="005D43F7" w:rsidRDefault="005D43F7">
      <w:pPr>
        <w:pStyle w:val="BodyText"/>
        <w:spacing w:before="7"/>
        <w:rPr>
          <w:b/>
          <w:sz w:val="21"/>
        </w:rPr>
      </w:pPr>
    </w:p>
    <w:p w:rsidR="005D43F7" w:rsidRDefault="009A6918">
      <w:pPr>
        <w:pStyle w:val="BodyText"/>
        <w:spacing w:line="357" w:lineRule="auto"/>
        <w:ind w:left="460" w:right="117" w:hanging="360"/>
        <w:jc w:val="both"/>
        <w:rPr>
          <w:b/>
        </w:rPr>
      </w:pPr>
      <w:r>
        <w:t xml:space="preserve">(a) Why have the adult basic education and training facilities in the </w:t>
      </w:r>
      <w:proofErr w:type="spellStart"/>
      <w:r>
        <w:t>Hantam</w:t>
      </w:r>
      <w:proofErr w:type="spellEnd"/>
      <w:r>
        <w:t xml:space="preserve"> Local Municipality closed down and (b) what alternative arrangements have been made to accommodate the municipality that is already plagued by a high illiteracy rate? </w:t>
      </w:r>
      <w:r>
        <w:rPr>
          <w:b/>
        </w:rPr>
        <w:t>NW2427E</w:t>
      </w:r>
    </w:p>
    <w:p w:rsidR="005D43F7" w:rsidRDefault="005D43F7">
      <w:pPr>
        <w:spacing w:line="357" w:lineRule="auto"/>
        <w:jc w:val="both"/>
        <w:sectPr w:rsidR="005D43F7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p w:rsidR="005D43F7" w:rsidRDefault="009A6918">
      <w:pPr>
        <w:pStyle w:val="Heading1"/>
        <w:spacing w:before="75"/>
      </w:pPr>
      <w:r>
        <w:lastRenderedPageBreak/>
        <w:t>REPLY:</w:t>
      </w:r>
    </w:p>
    <w:p w:rsidR="005D43F7" w:rsidRDefault="005D43F7">
      <w:pPr>
        <w:pStyle w:val="BodyText"/>
        <w:rPr>
          <w:b/>
          <w:sz w:val="32"/>
        </w:rPr>
      </w:pPr>
    </w:p>
    <w:p w:rsidR="005D43F7" w:rsidRDefault="009A6918">
      <w:pPr>
        <w:pStyle w:val="ListParagraph"/>
        <w:numPr>
          <w:ilvl w:val="0"/>
          <w:numId w:val="1"/>
        </w:numPr>
        <w:tabs>
          <w:tab w:val="left" w:pos="641"/>
        </w:tabs>
        <w:spacing w:line="360" w:lineRule="auto"/>
        <w:jc w:val="both"/>
      </w:pPr>
      <w:r>
        <w:t xml:space="preserve">Against the strategic goal of building institutional capacity in the Community Education and Training (CET) system, the Department took a decision to </w:t>
      </w:r>
      <w:r w:rsidR="00464AEA">
        <w:t>rationalize</w:t>
      </w:r>
      <w:r>
        <w:t xml:space="preserve"> the CET institutional landscape in the interest of efficiency, effective se</w:t>
      </w:r>
      <w:r>
        <w:t>rvice delivery and economic use of the limited</w:t>
      </w:r>
      <w:r>
        <w:rPr>
          <w:spacing w:val="-4"/>
        </w:rPr>
        <w:t xml:space="preserve"> </w:t>
      </w:r>
      <w:r>
        <w:t>resources.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464AEA">
        <w:t>rationalization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i/>
        </w:rPr>
        <w:t>CET</w:t>
      </w:r>
      <w:r>
        <w:rPr>
          <w:i/>
          <w:spacing w:val="-3"/>
        </w:rPr>
        <w:t xml:space="preserve"> </w:t>
      </w:r>
      <w:r>
        <w:rPr>
          <w:i/>
        </w:rPr>
        <w:t>College</w:t>
      </w:r>
      <w:r>
        <w:rPr>
          <w:i/>
          <w:spacing w:val="-3"/>
        </w:rPr>
        <w:t xml:space="preserve"> </w:t>
      </w:r>
      <w:r>
        <w:rPr>
          <w:i/>
        </w:rPr>
        <w:t xml:space="preserve">System: National Plan for the Implementation of the White Paper on Post-School Education and Training </w:t>
      </w:r>
      <w:r>
        <w:t xml:space="preserve">was </w:t>
      </w:r>
      <w:r>
        <w:rPr>
          <w:i/>
        </w:rPr>
        <w:t>developed</w:t>
      </w:r>
      <w:r>
        <w:t xml:space="preserve">. The Councils of the </w:t>
      </w:r>
      <w:r>
        <w:rPr>
          <w:spacing w:val="-2"/>
        </w:rPr>
        <w:t xml:space="preserve">CET </w:t>
      </w:r>
      <w:r>
        <w:t xml:space="preserve">colleges took resolutions in support of the proposal in the plan to </w:t>
      </w:r>
      <w:r w:rsidR="00464AEA">
        <w:t>rationalize</w:t>
      </w:r>
      <w:r>
        <w:t xml:space="preserve"> the Community Learning Centres (CLCs) nationally from 3 276 to 200. For the Northern Cape CET College, the Council approved 7 CLCs and 80 satellite ce</w:t>
      </w:r>
      <w:r>
        <w:t>ntres for</w:t>
      </w:r>
      <w:r>
        <w:rPr>
          <w:spacing w:val="-3"/>
        </w:rPr>
        <w:t xml:space="preserve"> </w:t>
      </w:r>
      <w:r>
        <w:t>accessibility.</w:t>
      </w:r>
    </w:p>
    <w:p w:rsidR="005D43F7" w:rsidRDefault="005D43F7">
      <w:pPr>
        <w:pStyle w:val="BodyText"/>
        <w:spacing w:before="10"/>
        <w:rPr>
          <w:sz w:val="20"/>
        </w:rPr>
      </w:pPr>
    </w:p>
    <w:p w:rsidR="005D43F7" w:rsidRDefault="009A6918">
      <w:pPr>
        <w:pStyle w:val="BodyText"/>
        <w:spacing w:line="360" w:lineRule="auto"/>
        <w:ind w:left="640" w:right="113"/>
        <w:jc w:val="both"/>
      </w:pPr>
      <w:r>
        <w:t>The</w:t>
      </w:r>
      <w:r>
        <w:rPr>
          <w:spacing w:val="-10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CLCs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Hantam</w:t>
      </w:r>
      <w:proofErr w:type="spellEnd"/>
      <w:r>
        <w:rPr>
          <w:spacing w:val="-6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Municipality</w:t>
      </w:r>
      <w:r>
        <w:rPr>
          <w:spacing w:val="-7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extremely</w:t>
      </w:r>
      <w:r>
        <w:rPr>
          <w:spacing w:val="-7"/>
        </w:rPr>
        <w:t xml:space="preserve"> </w:t>
      </w:r>
      <w:r>
        <w:t>low</w:t>
      </w:r>
      <w:r>
        <w:rPr>
          <w:spacing w:val="-9"/>
        </w:rPr>
        <w:t xml:space="preserve"> </w:t>
      </w:r>
      <w:r>
        <w:t>student headcount</w:t>
      </w:r>
      <w:r>
        <w:rPr>
          <w:spacing w:val="-8"/>
        </w:rPr>
        <w:t xml:space="preserve"> </w:t>
      </w:r>
      <w:r>
        <w:t>enrolments,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impacted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provision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training.</w:t>
      </w:r>
      <w:r>
        <w:rPr>
          <w:spacing w:val="-10"/>
        </w:rPr>
        <w:t xml:space="preserve"> </w:t>
      </w:r>
      <w:r>
        <w:t>In the</w:t>
      </w:r>
      <w:r>
        <w:rPr>
          <w:spacing w:val="-11"/>
        </w:rPr>
        <w:t xml:space="preserve"> </w:t>
      </w:r>
      <w:r>
        <w:t>2018</w:t>
      </w:r>
      <w:r>
        <w:rPr>
          <w:spacing w:val="-11"/>
        </w:rPr>
        <w:t xml:space="preserve"> </w:t>
      </w:r>
      <w:r>
        <w:t>examination</w:t>
      </w:r>
      <w:r>
        <w:rPr>
          <w:spacing w:val="-12"/>
        </w:rPr>
        <w:t xml:space="preserve"> </w:t>
      </w:r>
      <w:r>
        <w:t>cycle,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four</w:t>
      </w:r>
      <w:r>
        <w:rPr>
          <w:spacing w:val="-9"/>
        </w:rPr>
        <w:t xml:space="preserve"> </w:t>
      </w:r>
      <w:r>
        <w:t>centres</w:t>
      </w:r>
      <w:r>
        <w:rPr>
          <w:spacing w:val="-12"/>
        </w:rPr>
        <w:t xml:space="preserve"> </w:t>
      </w:r>
      <w:r>
        <w:t>combined</w:t>
      </w:r>
      <w:r>
        <w:rPr>
          <w:spacing w:val="-10"/>
        </w:rPr>
        <w:t xml:space="preserve"> </w:t>
      </w:r>
      <w:r>
        <w:t>had</w:t>
      </w:r>
      <w:r>
        <w:rPr>
          <w:spacing w:val="-11"/>
        </w:rPr>
        <w:t xml:space="preserve"> </w:t>
      </w:r>
      <w:r>
        <w:t>21</w:t>
      </w:r>
      <w:r>
        <w:rPr>
          <w:spacing w:val="-11"/>
        </w:rPr>
        <w:t xml:space="preserve"> </w:t>
      </w:r>
      <w:r>
        <w:t>candidates,</w:t>
      </w:r>
      <w:r>
        <w:rPr>
          <w:spacing w:val="-11"/>
        </w:rPr>
        <w:t xml:space="preserve"> </w:t>
      </w:r>
      <w:r>
        <w:t>i.e.</w:t>
      </w:r>
      <w:r>
        <w:rPr>
          <w:spacing w:val="-14"/>
        </w:rPr>
        <w:t xml:space="preserve"> </w:t>
      </w:r>
      <w:r>
        <w:t>Williston</w:t>
      </w:r>
      <w:r>
        <w:rPr>
          <w:spacing w:val="-13"/>
        </w:rPr>
        <w:t xml:space="preserve"> </w:t>
      </w:r>
      <w:r>
        <w:t>with five</w:t>
      </w:r>
      <w:r>
        <w:rPr>
          <w:spacing w:val="-10"/>
        </w:rPr>
        <w:t xml:space="preserve"> </w:t>
      </w:r>
      <w:r>
        <w:t>candidates,</w:t>
      </w:r>
      <w:r>
        <w:rPr>
          <w:spacing w:val="-11"/>
        </w:rPr>
        <w:t xml:space="preserve"> </w:t>
      </w:r>
      <w:proofErr w:type="spellStart"/>
      <w:r>
        <w:t>Loerisfontein</w:t>
      </w:r>
      <w:proofErr w:type="spellEnd"/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five</w:t>
      </w:r>
      <w:r>
        <w:rPr>
          <w:spacing w:val="-12"/>
        </w:rPr>
        <w:t xml:space="preserve"> </w:t>
      </w:r>
      <w:r>
        <w:t>candidates,</w:t>
      </w:r>
      <w:r>
        <w:rPr>
          <w:spacing w:val="-11"/>
        </w:rPr>
        <w:t xml:space="preserve"> </w:t>
      </w:r>
      <w:proofErr w:type="spellStart"/>
      <w:r>
        <w:t>Niewoudtville</w:t>
      </w:r>
      <w:proofErr w:type="spellEnd"/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seven</w:t>
      </w:r>
      <w:r>
        <w:rPr>
          <w:spacing w:val="-10"/>
        </w:rPr>
        <w:t xml:space="preserve"> </w:t>
      </w:r>
      <w:r>
        <w:t>candidates</w:t>
      </w:r>
      <w:r>
        <w:rPr>
          <w:spacing w:val="-12"/>
        </w:rPr>
        <w:t xml:space="preserve"> </w:t>
      </w:r>
      <w:r>
        <w:t xml:space="preserve">and </w:t>
      </w:r>
      <w:proofErr w:type="spellStart"/>
      <w:r>
        <w:t>Brandvlei</w:t>
      </w:r>
      <w:proofErr w:type="spellEnd"/>
      <w:r>
        <w:t xml:space="preserve"> with four</w:t>
      </w:r>
      <w:r>
        <w:rPr>
          <w:spacing w:val="2"/>
        </w:rPr>
        <w:t xml:space="preserve"> </w:t>
      </w:r>
      <w:r>
        <w:t>candidates.</w:t>
      </w:r>
    </w:p>
    <w:p w:rsidR="005D43F7" w:rsidRDefault="005D43F7">
      <w:pPr>
        <w:pStyle w:val="BodyText"/>
        <w:spacing w:before="10"/>
        <w:rPr>
          <w:sz w:val="20"/>
        </w:rPr>
      </w:pPr>
    </w:p>
    <w:p w:rsidR="005D43F7" w:rsidRDefault="009A6918">
      <w:pPr>
        <w:pStyle w:val="BodyText"/>
        <w:spacing w:line="360" w:lineRule="auto"/>
        <w:ind w:left="640" w:right="113"/>
        <w:jc w:val="both"/>
      </w:pPr>
      <w:r>
        <w:t>In quality, planning and resource terms, there must be a lecturer for each subject</w:t>
      </w:r>
      <w:r>
        <w:t xml:space="preserve"> and examination</w:t>
      </w:r>
      <w:r>
        <w:rPr>
          <w:spacing w:val="-11"/>
        </w:rPr>
        <w:t xml:space="preserve"> </w:t>
      </w:r>
      <w:r>
        <w:t>procedures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place,</w:t>
      </w:r>
      <w:r>
        <w:rPr>
          <w:spacing w:val="-10"/>
        </w:rPr>
        <w:t xml:space="preserve"> </w:t>
      </w:r>
      <w:r>
        <w:t>i.e.</w:t>
      </w:r>
      <w:r>
        <w:rPr>
          <w:spacing w:val="-9"/>
        </w:rPr>
        <w:t xml:space="preserve"> </w:t>
      </w:r>
      <w:r>
        <w:t>appointment</w:t>
      </w:r>
      <w:r>
        <w:rPr>
          <w:spacing w:val="-1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invigilators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markers.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 xml:space="preserve">context of limited resources matched with the uptake of the </w:t>
      </w:r>
      <w:r>
        <w:rPr>
          <w:spacing w:val="-2"/>
        </w:rPr>
        <w:t xml:space="preserve">CET </w:t>
      </w:r>
      <w:r>
        <w:t>opportunities by the communities, the situation was unsustainable.</w:t>
      </w:r>
    </w:p>
    <w:p w:rsidR="005D43F7" w:rsidRDefault="005D43F7">
      <w:pPr>
        <w:pStyle w:val="BodyText"/>
        <w:spacing w:before="9"/>
        <w:rPr>
          <w:sz w:val="20"/>
        </w:rPr>
      </w:pPr>
    </w:p>
    <w:p w:rsidR="005D43F7" w:rsidRDefault="009A6918">
      <w:pPr>
        <w:pStyle w:val="ListParagraph"/>
        <w:numPr>
          <w:ilvl w:val="0"/>
          <w:numId w:val="1"/>
        </w:numPr>
        <w:tabs>
          <w:tab w:val="left" w:pos="641"/>
        </w:tabs>
        <w:spacing w:line="360" w:lineRule="auto"/>
        <w:ind w:right="114"/>
        <w:jc w:val="both"/>
      </w:pPr>
      <w:r>
        <w:t xml:space="preserve">In terms of the </w:t>
      </w:r>
      <w:r>
        <w:rPr>
          <w:i/>
        </w:rPr>
        <w:t>Policy and Proced</w:t>
      </w:r>
      <w:r>
        <w:rPr>
          <w:i/>
        </w:rPr>
        <w:t>ures for Regulating the Opening, Merging and Closing of CET</w:t>
      </w:r>
      <w:r>
        <w:rPr>
          <w:i/>
          <w:spacing w:val="-9"/>
        </w:rPr>
        <w:t xml:space="preserve"> </w:t>
      </w:r>
      <w:r>
        <w:rPr>
          <w:i/>
        </w:rPr>
        <w:t>Colleges’</w:t>
      </w:r>
      <w:r>
        <w:rPr>
          <w:i/>
          <w:spacing w:val="-13"/>
        </w:rPr>
        <w:t xml:space="preserve"> </w:t>
      </w:r>
      <w:r>
        <w:rPr>
          <w:i/>
        </w:rPr>
        <w:t>learning</w:t>
      </w:r>
      <w:r>
        <w:rPr>
          <w:i/>
          <w:spacing w:val="-8"/>
        </w:rPr>
        <w:t xml:space="preserve"> </w:t>
      </w:r>
      <w:r>
        <w:rPr>
          <w:i/>
        </w:rPr>
        <w:t>sites,</w:t>
      </w:r>
      <w:r>
        <w:rPr>
          <w:i/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464AEA">
        <w:t>rationalization</w:t>
      </w:r>
      <w:r>
        <w:rPr>
          <w:spacing w:val="-10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preclude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from opening and merging centres where there is a need. If the demand increases the college Council can be approached to open a satellite centre and deploy lecturers</w:t>
      </w:r>
      <w:r>
        <w:rPr>
          <w:spacing w:val="-24"/>
        </w:rPr>
        <w:t xml:space="preserve"> </w:t>
      </w:r>
      <w:r>
        <w:t>accordingly.</w:t>
      </w:r>
    </w:p>
    <w:sectPr w:rsidR="005D43F7" w:rsidSect="005D43F7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21AD"/>
    <w:multiLevelType w:val="hybridMultilevel"/>
    <w:tmpl w:val="9A623026"/>
    <w:lvl w:ilvl="0" w:tplc="86C4B1D2">
      <w:start w:val="1"/>
      <w:numFmt w:val="lowerLetter"/>
      <w:lvlText w:val="(%1)"/>
      <w:lvlJc w:val="left"/>
      <w:pPr>
        <w:ind w:left="640" w:hanging="540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76A86A30">
      <w:numFmt w:val="bullet"/>
      <w:lvlText w:val="•"/>
      <w:lvlJc w:val="left"/>
      <w:pPr>
        <w:ind w:left="1534" w:hanging="540"/>
      </w:pPr>
      <w:rPr>
        <w:rFonts w:hint="default"/>
        <w:lang w:val="en-US" w:eastAsia="en-US" w:bidi="en-US"/>
      </w:rPr>
    </w:lvl>
    <w:lvl w:ilvl="2" w:tplc="1E1A3740">
      <w:numFmt w:val="bullet"/>
      <w:lvlText w:val="•"/>
      <w:lvlJc w:val="left"/>
      <w:pPr>
        <w:ind w:left="2428" w:hanging="540"/>
      </w:pPr>
      <w:rPr>
        <w:rFonts w:hint="default"/>
        <w:lang w:val="en-US" w:eastAsia="en-US" w:bidi="en-US"/>
      </w:rPr>
    </w:lvl>
    <w:lvl w:ilvl="3" w:tplc="E7AA1120">
      <w:numFmt w:val="bullet"/>
      <w:lvlText w:val="•"/>
      <w:lvlJc w:val="left"/>
      <w:pPr>
        <w:ind w:left="3322" w:hanging="540"/>
      </w:pPr>
      <w:rPr>
        <w:rFonts w:hint="default"/>
        <w:lang w:val="en-US" w:eastAsia="en-US" w:bidi="en-US"/>
      </w:rPr>
    </w:lvl>
    <w:lvl w:ilvl="4" w:tplc="4E6CEDCA">
      <w:numFmt w:val="bullet"/>
      <w:lvlText w:val="•"/>
      <w:lvlJc w:val="left"/>
      <w:pPr>
        <w:ind w:left="4216" w:hanging="540"/>
      </w:pPr>
      <w:rPr>
        <w:rFonts w:hint="default"/>
        <w:lang w:val="en-US" w:eastAsia="en-US" w:bidi="en-US"/>
      </w:rPr>
    </w:lvl>
    <w:lvl w:ilvl="5" w:tplc="EA00C4F8">
      <w:numFmt w:val="bullet"/>
      <w:lvlText w:val="•"/>
      <w:lvlJc w:val="left"/>
      <w:pPr>
        <w:ind w:left="5110" w:hanging="540"/>
      </w:pPr>
      <w:rPr>
        <w:rFonts w:hint="default"/>
        <w:lang w:val="en-US" w:eastAsia="en-US" w:bidi="en-US"/>
      </w:rPr>
    </w:lvl>
    <w:lvl w:ilvl="6" w:tplc="0364918E">
      <w:numFmt w:val="bullet"/>
      <w:lvlText w:val="•"/>
      <w:lvlJc w:val="left"/>
      <w:pPr>
        <w:ind w:left="6004" w:hanging="540"/>
      </w:pPr>
      <w:rPr>
        <w:rFonts w:hint="default"/>
        <w:lang w:val="en-US" w:eastAsia="en-US" w:bidi="en-US"/>
      </w:rPr>
    </w:lvl>
    <w:lvl w:ilvl="7" w:tplc="5C7A0F2C">
      <w:numFmt w:val="bullet"/>
      <w:lvlText w:val="•"/>
      <w:lvlJc w:val="left"/>
      <w:pPr>
        <w:ind w:left="6898" w:hanging="540"/>
      </w:pPr>
      <w:rPr>
        <w:rFonts w:hint="default"/>
        <w:lang w:val="en-US" w:eastAsia="en-US" w:bidi="en-US"/>
      </w:rPr>
    </w:lvl>
    <w:lvl w:ilvl="8" w:tplc="6FB62DBA">
      <w:numFmt w:val="bullet"/>
      <w:lvlText w:val="•"/>
      <w:lvlJc w:val="left"/>
      <w:pPr>
        <w:ind w:left="7792" w:hanging="5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D43F7"/>
    <w:rsid w:val="00464AEA"/>
    <w:rsid w:val="005D43F7"/>
    <w:rsid w:val="009A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43F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D43F7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43F7"/>
    <w:pPr>
      <w:spacing w:before="1"/>
    </w:pPr>
  </w:style>
  <w:style w:type="paragraph" w:styleId="ListParagraph">
    <w:name w:val="List Paragraph"/>
    <w:basedOn w:val="Normal"/>
    <w:uiPriority w:val="1"/>
    <w:qFormat/>
    <w:rsid w:val="005D43F7"/>
    <w:pPr>
      <w:ind w:left="640" w:right="112" w:hanging="540"/>
      <w:jc w:val="both"/>
    </w:pPr>
  </w:style>
  <w:style w:type="paragraph" w:customStyle="1" w:styleId="TableParagraph">
    <w:name w:val="Table Paragraph"/>
    <w:basedOn w:val="Normal"/>
    <w:uiPriority w:val="1"/>
    <w:qFormat/>
    <w:rsid w:val="005D43F7"/>
  </w:style>
  <w:style w:type="paragraph" w:styleId="BalloonText">
    <w:name w:val="Balloon Text"/>
    <w:basedOn w:val="Normal"/>
    <w:link w:val="BalloonTextChar"/>
    <w:uiPriority w:val="99"/>
    <w:semiHidden/>
    <w:unhideWhenUsed/>
    <w:rsid w:val="00464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EA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2089</Characters>
  <Application>Microsoft Office Word</Application>
  <DocSecurity>0</DocSecurity>
  <Lines>17</Lines>
  <Paragraphs>4</Paragraphs>
  <ScaleCrop>false</ScaleCrop>
  <Company>Deftones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dcterms:created xsi:type="dcterms:W3CDTF">2019-11-13T09:52:00Z</dcterms:created>
  <dcterms:modified xsi:type="dcterms:W3CDTF">2019-11-13T09:52:00Z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2019-11-13T00:00:00Z</vt:filetime>
  </property>
</Properties>
</file>