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3015E6">
        <w:rPr>
          <w:rFonts w:ascii="Arial" w:hAnsi="Arial" w:cs="Arial"/>
          <w:b/>
          <w:sz w:val="22"/>
          <w:szCs w:val="22"/>
          <w:u w:val="single"/>
        </w:rPr>
        <w:t>1213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40C01">
        <w:rPr>
          <w:rFonts w:ascii="Arial" w:hAnsi="Arial" w:cs="Arial"/>
          <w:b/>
          <w:sz w:val="22"/>
          <w:szCs w:val="22"/>
          <w:u w:val="single"/>
        </w:rPr>
        <w:t>22</w:t>
      </w:r>
      <w:r w:rsidR="00A93C97"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40C01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3015E6" w:rsidRPr="003015E6" w:rsidRDefault="003015E6" w:rsidP="003015E6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3015E6">
        <w:rPr>
          <w:rFonts w:ascii="Arial" w:hAnsi="Arial" w:cs="Arial"/>
          <w:b/>
          <w:sz w:val="22"/>
          <w:szCs w:val="22"/>
          <w:lang w:val="en-GB"/>
        </w:rPr>
        <w:t>1213.</w:t>
      </w:r>
      <w:r w:rsidRPr="003015E6"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A00F9F" w:rsidRPr="003015E6" w:rsidRDefault="003015E6" w:rsidP="003015E6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22"/>
          <w:szCs w:val="22"/>
        </w:rPr>
      </w:pPr>
      <w:r w:rsidRPr="003015E6">
        <w:rPr>
          <w:rFonts w:ascii="Arial" w:hAnsi="Arial" w:cs="Arial"/>
          <w:sz w:val="22"/>
          <w:szCs w:val="22"/>
        </w:rPr>
        <w:t xml:space="preserve">(a) How many water-use </w:t>
      </w:r>
      <w:proofErr w:type="spellStart"/>
      <w:r w:rsidRPr="003015E6">
        <w:rPr>
          <w:rFonts w:ascii="Arial" w:hAnsi="Arial" w:cs="Arial"/>
          <w:sz w:val="22"/>
          <w:szCs w:val="22"/>
        </w:rPr>
        <w:t>licences</w:t>
      </w:r>
      <w:proofErr w:type="spellEnd"/>
      <w:r w:rsidRPr="003015E6">
        <w:rPr>
          <w:rFonts w:ascii="Arial" w:hAnsi="Arial" w:cs="Arial"/>
          <w:sz w:val="22"/>
          <w:szCs w:val="22"/>
        </w:rPr>
        <w:t xml:space="preserve"> have been issued for mining purposes in each province in the (i) 2013-14, (ii) 2014-15 and (iii) 2015-16 financial years, (b) (i) what are the names of each company that received the specified </w:t>
      </w:r>
      <w:proofErr w:type="spellStart"/>
      <w:r w:rsidRPr="003015E6">
        <w:rPr>
          <w:rFonts w:ascii="Arial" w:hAnsi="Arial" w:cs="Arial"/>
          <w:sz w:val="22"/>
          <w:szCs w:val="22"/>
        </w:rPr>
        <w:t>licence</w:t>
      </w:r>
      <w:proofErr w:type="spellEnd"/>
      <w:r w:rsidRPr="003015E6">
        <w:rPr>
          <w:rFonts w:ascii="Arial" w:hAnsi="Arial" w:cs="Arial"/>
          <w:sz w:val="22"/>
          <w:szCs w:val="22"/>
        </w:rPr>
        <w:t xml:space="preserve"> and (ii) what product is being mined in each case and (c) what is the period of validity of each specified </w:t>
      </w:r>
      <w:proofErr w:type="spellStart"/>
      <w:r w:rsidRPr="003015E6">
        <w:rPr>
          <w:rFonts w:ascii="Arial" w:hAnsi="Arial" w:cs="Arial"/>
          <w:sz w:val="22"/>
          <w:szCs w:val="22"/>
        </w:rPr>
        <w:t>licence</w:t>
      </w:r>
      <w:proofErr w:type="spellEnd"/>
      <w:r w:rsidRPr="003015E6">
        <w:rPr>
          <w:rFonts w:ascii="Arial" w:hAnsi="Arial" w:cs="Arial"/>
          <w:sz w:val="22"/>
          <w:szCs w:val="22"/>
        </w:rPr>
        <w:t xml:space="preserve"> granted?</w:t>
      </w:r>
      <w:r w:rsidRPr="003015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15E6">
        <w:rPr>
          <w:rFonts w:ascii="Arial" w:hAnsi="Arial" w:cs="Arial"/>
          <w:sz w:val="16"/>
          <w:szCs w:val="16"/>
        </w:rPr>
        <w:t>NW1353E</w:t>
      </w:r>
    </w:p>
    <w:p w:rsidR="00355562" w:rsidRPr="00CC596F" w:rsidRDefault="00E53673" w:rsidP="00A00F9F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14759D" w:rsidRDefault="00773936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11D92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7D2B44">
        <w:rPr>
          <w:rFonts w:ascii="Arial" w:hAnsi="Arial" w:cs="Arial"/>
          <w:sz w:val="22"/>
          <w:szCs w:val="22"/>
        </w:rPr>
        <w:t>Refer to the table below for the n</w:t>
      </w:r>
      <w:r w:rsidR="0014759D">
        <w:rPr>
          <w:rFonts w:ascii="Arial" w:hAnsi="Arial" w:cs="Arial"/>
          <w:sz w:val="22"/>
          <w:szCs w:val="22"/>
        </w:rPr>
        <w:t xml:space="preserve">umber of </w:t>
      </w:r>
      <w:r w:rsidR="0014759D" w:rsidRPr="003015E6">
        <w:rPr>
          <w:rFonts w:ascii="Arial" w:hAnsi="Arial" w:cs="Arial"/>
          <w:sz w:val="22"/>
          <w:szCs w:val="22"/>
        </w:rPr>
        <w:t xml:space="preserve">water-use </w:t>
      </w:r>
      <w:r w:rsidR="003E7E13" w:rsidRPr="003015E6">
        <w:rPr>
          <w:rFonts w:ascii="Arial" w:hAnsi="Arial" w:cs="Arial"/>
          <w:sz w:val="22"/>
          <w:szCs w:val="22"/>
        </w:rPr>
        <w:t>licenses</w:t>
      </w:r>
      <w:r w:rsidR="0014759D" w:rsidRPr="003015E6">
        <w:rPr>
          <w:rFonts w:ascii="Arial" w:hAnsi="Arial" w:cs="Arial"/>
          <w:sz w:val="22"/>
          <w:szCs w:val="22"/>
        </w:rPr>
        <w:t xml:space="preserve"> </w:t>
      </w:r>
      <w:r w:rsidR="007D2B44">
        <w:rPr>
          <w:rFonts w:ascii="Arial" w:hAnsi="Arial" w:cs="Arial"/>
          <w:sz w:val="22"/>
          <w:szCs w:val="22"/>
        </w:rPr>
        <w:t xml:space="preserve">that </w:t>
      </w:r>
      <w:r w:rsidR="0014759D" w:rsidRPr="003015E6">
        <w:rPr>
          <w:rFonts w:ascii="Arial" w:hAnsi="Arial" w:cs="Arial"/>
          <w:sz w:val="22"/>
          <w:szCs w:val="22"/>
        </w:rPr>
        <w:t>have been issued for mining purposes in each province in the 2013-14, 2014-15 and 2015-16 financial years</w:t>
      </w:r>
      <w:r w:rsidR="0014759D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margin" w:tblpXSpec="right" w:tblpY="194"/>
        <w:tblW w:w="7905" w:type="dxa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842"/>
        <w:gridCol w:w="993"/>
      </w:tblGrid>
      <w:tr w:rsidR="007D2B44" w:rsidRPr="005326EB" w:rsidTr="005326EB">
        <w:trPr>
          <w:trHeight w:val="52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PROVINCE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(a)(i) 2013/14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(a)(ii) 2014/15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(a)(iii) 2015/16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EASTERN 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FREE STATE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GAUTENG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KWAZULU</w:t>
            </w:r>
            <w:r w:rsidR="0058770C"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</w:t>
            </w: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NATAL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LIMPOPO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MPUMALANGA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113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NORTH WEST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NORTHERN 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</w:tr>
      <w:tr w:rsidR="00DA7454" w:rsidRPr="005326EB" w:rsidTr="005326EB">
        <w:trPr>
          <w:trHeight w:val="2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WESTERN 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</w:tr>
      <w:tr w:rsidR="00DA7454" w:rsidRPr="005326EB" w:rsidTr="005326EB">
        <w:trPr>
          <w:trHeight w:val="40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4" w:rsidRPr="005326EB" w:rsidRDefault="007D2B44" w:rsidP="007D2B4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2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199</w:t>
            </w:r>
          </w:p>
        </w:tc>
      </w:tr>
    </w:tbl>
    <w:p w:rsidR="0014759D" w:rsidRDefault="0014759D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14759D" w:rsidRPr="004B1BAE" w:rsidRDefault="0014759D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759D" w:rsidRDefault="0014759D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14759D" w:rsidRDefault="0014759D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14759D" w:rsidRDefault="0014759D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14759D" w:rsidRDefault="0014759D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14759D" w:rsidRDefault="0014759D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14759D" w:rsidRDefault="0014759D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7D2B44" w:rsidRDefault="004B1BAE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4B1BAE">
        <w:rPr>
          <w:rFonts w:ascii="Arial" w:hAnsi="Arial" w:cs="Arial"/>
          <w:sz w:val="22"/>
          <w:szCs w:val="22"/>
        </w:rPr>
        <w:t xml:space="preserve"> </w:t>
      </w:r>
    </w:p>
    <w:p w:rsidR="007D2B44" w:rsidRDefault="007D2B44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7D2B44" w:rsidRDefault="007D2B44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7D2B44" w:rsidRDefault="007D2B44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7D2B44" w:rsidRDefault="007D2B44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7D2B44" w:rsidRDefault="007D2B44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7D2B44" w:rsidRDefault="007D2B44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4B1BAE" w:rsidRDefault="004B1BAE" w:rsidP="007D2B4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7164A1" w:rsidRDefault="00152A3B" w:rsidP="007D2B44">
      <w:pPr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D2B44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7D2B44">
        <w:rPr>
          <w:rFonts w:ascii="Arial" w:hAnsi="Arial" w:cs="Arial"/>
          <w:sz w:val="22"/>
          <w:szCs w:val="22"/>
        </w:rPr>
        <w:t xml:space="preserve">Refer to </w:t>
      </w:r>
      <w:r w:rsidR="007D2B44" w:rsidRPr="007D2B44">
        <w:rPr>
          <w:rFonts w:ascii="Arial" w:hAnsi="Arial" w:cs="Arial"/>
          <w:b/>
          <w:sz w:val="22"/>
          <w:szCs w:val="22"/>
        </w:rPr>
        <w:t>Annexure A</w:t>
      </w:r>
      <w:r w:rsidR="007D2B44">
        <w:rPr>
          <w:rFonts w:ascii="Arial" w:hAnsi="Arial" w:cs="Arial"/>
          <w:sz w:val="22"/>
          <w:szCs w:val="22"/>
        </w:rPr>
        <w:t xml:space="preserve"> for the </w:t>
      </w:r>
      <w:r w:rsidR="007164A1" w:rsidRPr="003015E6">
        <w:rPr>
          <w:rFonts w:ascii="Arial" w:hAnsi="Arial" w:cs="Arial"/>
          <w:sz w:val="22"/>
          <w:szCs w:val="22"/>
        </w:rPr>
        <w:t xml:space="preserve">names of each company that received the specified </w:t>
      </w:r>
      <w:proofErr w:type="spellStart"/>
      <w:r w:rsidR="007164A1" w:rsidRPr="003015E6">
        <w:rPr>
          <w:rFonts w:ascii="Arial" w:hAnsi="Arial" w:cs="Arial"/>
          <w:sz w:val="22"/>
          <w:szCs w:val="22"/>
        </w:rPr>
        <w:t>licence</w:t>
      </w:r>
      <w:proofErr w:type="spellEnd"/>
      <w:r w:rsidR="007164A1">
        <w:rPr>
          <w:rFonts w:ascii="Arial" w:hAnsi="Arial" w:cs="Arial"/>
          <w:sz w:val="22"/>
          <w:szCs w:val="22"/>
        </w:rPr>
        <w:t xml:space="preserve">, the </w:t>
      </w:r>
      <w:r w:rsidR="007164A1" w:rsidRPr="003015E6">
        <w:rPr>
          <w:rFonts w:ascii="Arial" w:hAnsi="Arial" w:cs="Arial"/>
          <w:sz w:val="22"/>
          <w:szCs w:val="22"/>
        </w:rPr>
        <w:t xml:space="preserve">product </w:t>
      </w:r>
      <w:r w:rsidR="007164A1">
        <w:rPr>
          <w:rFonts w:ascii="Arial" w:hAnsi="Arial" w:cs="Arial"/>
          <w:sz w:val="22"/>
          <w:szCs w:val="22"/>
        </w:rPr>
        <w:t xml:space="preserve">that </w:t>
      </w:r>
      <w:r w:rsidR="007164A1" w:rsidRPr="003015E6">
        <w:rPr>
          <w:rFonts w:ascii="Arial" w:hAnsi="Arial" w:cs="Arial"/>
          <w:sz w:val="22"/>
          <w:szCs w:val="22"/>
        </w:rPr>
        <w:t xml:space="preserve">is being mined in each case and the period of validity of each specified </w:t>
      </w:r>
      <w:proofErr w:type="spellStart"/>
      <w:r w:rsidR="007164A1" w:rsidRPr="003015E6">
        <w:rPr>
          <w:rFonts w:ascii="Arial" w:hAnsi="Arial" w:cs="Arial"/>
          <w:sz w:val="22"/>
          <w:szCs w:val="22"/>
        </w:rPr>
        <w:t>licence</w:t>
      </w:r>
      <w:proofErr w:type="spellEnd"/>
      <w:r w:rsidR="007164A1" w:rsidRPr="003015E6">
        <w:rPr>
          <w:rFonts w:ascii="Arial" w:hAnsi="Arial" w:cs="Arial"/>
          <w:sz w:val="22"/>
          <w:szCs w:val="22"/>
        </w:rPr>
        <w:t xml:space="preserve"> granted?</w:t>
      </w:r>
    </w:p>
    <w:p w:rsidR="007D2B44" w:rsidRPr="0095517A" w:rsidRDefault="007D2B44" w:rsidP="007D2B44">
      <w:pPr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4E6BF1" w:rsidRDefault="004E6BF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4E6BF1" w:rsidRDefault="004E6BF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4E6BF1" w:rsidRDefault="004E6BF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4E6BF1" w:rsidRDefault="004E6BF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4E6BF1" w:rsidRDefault="004E6BF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4E6BF1" w:rsidRDefault="004E6BF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4E6BF1" w:rsidRPr="004E6BF1" w:rsidRDefault="004E6BF1" w:rsidP="004E6BF1">
      <w:pPr>
        <w:spacing w:after="200" w:line="276" w:lineRule="auto"/>
        <w:jc w:val="right"/>
        <w:rPr>
          <w:rFonts w:ascii="Arial" w:eastAsiaTheme="minorHAnsi" w:hAnsi="Arial" w:cs="Arial"/>
          <w:b/>
          <w:sz w:val="28"/>
          <w:szCs w:val="28"/>
          <w:lang w:val="en-ZA"/>
        </w:rPr>
      </w:pPr>
      <w:r w:rsidRPr="004E6BF1">
        <w:rPr>
          <w:rFonts w:ascii="Arial" w:eastAsiaTheme="minorHAnsi" w:hAnsi="Arial" w:cs="Arial"/>
          <w:b/>
          <w:sz w:val="28"/>
          <w:szCs w:val="28"/>
          <w:lang w:val="en-ZA"/>
        </w:rPr>
        <w:t>Annexure A</w:t>
      </w:r>
    </w:p>
    <w:tbl>
      <w:tblPr>
        <w:tblW w:w="10378" w:type="dxa"/>
        <w:tblInd w:w="-601" w:type="dxa"/>
        <w:tblLook w:val="04A0" w:firstRow="1" w:lastRow="0" w:firstColumn="1" w:lastColumn="0" w:noHBand="0" w:noVBand="1"/>
      </w:tblPr>
      <w:tblGrid>
        <w:gridCol w:w="589"/>
        <w:gridCol w:w="3392"/>
        <w:gridCol w:w="1397"/>
        <w:gridCol w:w="970"/>
        <w:gridCol w:w="1255"/>
        <w:gridCol w:w="1278"/>
        <w:gridCol w:w="1497"/>
      </w:tblGrid>
      <w:tr w:rsidR="004E6BF1" w:rsidRPr="004E6BF1" w:rsidTr="007F1E20">
        <w:trPr>
          <w:trHeight w:val="660"/>
          <w:tblHeader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6BF1" w:rsidRPr="004E6BF1" w:rsidRDefault="004E6BF1" w:rsidP="004E6B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</w:pPr>
            <w:r w:rsidRPr="004E6BF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  <w:t>No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6BF1" w:rsidRPr="004E6BF1" w:rsidRDefault="004E6BF1" w:rsidP="004E6B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</w:pPr>
            <w:r w:rsidRPr="004E6BF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6BF1" w:rsidRPr="004E6BF1" w:rsidRDefault="004E6BF1" w:rsidP="004E6B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</w:pPr>
            <w:r w:rsidRPr="004E6BF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  <w:t>Region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6BF1" w:rsidRPr="004E6BF1" w:rsidRDefault="004E6BF1" w:rsidP="004E6B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</w:pPr>
            <w:r w:rsidRPr="004E6BF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  <w:t>year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6BF1" w:rsidRPr="004E6BF1" w:rsidRDefault="004E6BF1" w:rsidP="004E6B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</w:pPr>
            <w:r w:rsidRPr="004E6BF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  <w:t>product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6BF1" w:rsidRPr="004E6BF1" w:rsidRDefault="004E6BF1" w:rsidP="004E6B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</w:pPr>
            <w:r w:rsidRPr="004E6BF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  <w:t>Signed date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6BF1" w:rsidRPr="004E6BF1" w:rsidRDefault="004E6BF1" w:rsidP="004E6B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</w:pPr>
            <w:r w:rsidRPr="004E6BF1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ZA"/>
              </w:rPr>
              <w:t>Expiry Date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Umthombo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Resources (Pty) Ltd-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Schoongezicht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2013/04/06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2019/04/06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Xstrata Alloys: Carbon Division (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Emalahleni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Sites)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2013/05/02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2018/05/02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Anglo American Thermal Coal: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Goedehoop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 (South)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2013/05/02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2033/05/02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Coal Of Africa (Pty) Ltd,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Mooiplaats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 (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Langcarel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2013/05/02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2033/05/02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Umcebo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Mining -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Doornrug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2013/05/13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2017/05/13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Sudor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Coal -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Weltevreden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2013/08/13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2018/08/13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Rockwell Diamonds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2013/08/12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2033/08/12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Homeland mining&amp; Energy SA (Pty) Ltd Kendal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2013/08/13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2021/08/08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Welgelegen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2013/09/18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2018/09/18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Vaaldorado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Mining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2013/10/03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2015/10/03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Pilansburg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Platinum Mine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2013/10/10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2029/10/10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Kalagadi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Manganese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Manganese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2013/11/22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2038/11/22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Mintails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Mining SA (Pty) Ltd: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Mogale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Gold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2013/11/22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2038/11/22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Nkomati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Joint Venture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2013/11/22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2038/11/22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Analisa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Mining and Industrial Services (Pty) Ltd: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Lefa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Coal Mine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2013/04/08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2018/04/08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Assmang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Chrome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Dwarsrivier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2013/10/04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2038/10/04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Wescoal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Mining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Intibane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2013/04/06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2018/04/06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BHP Billiton Energy Coal South Africa (BECSA):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Khutala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2013/05/02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2030/05/02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Anglo Operations Limited: New Denmark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2013/05/10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2025/05/10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Sasol Mining (Pty) Ltd 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Impumelelo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2013/06/12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2033/06/12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Vunene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Mining (Pty) Ltd: Usutu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2013/06/21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2020/06/21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Msobo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Coal (Pty)Ltd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Tselentis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 (Ramp 9)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2013/06/04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2033/06/04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Kusile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Hirmine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Norman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Hirchowitz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Fentonia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2013/08/07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2021/08/07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Umcebo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2013/08/07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2028/08/07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Msobo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(Pty) Ltd-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Tselentis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2013/08/08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2018/08/08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Tre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Mineonox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Kwazulu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Natal sands (Pty) Ltd;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Fairbreeze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Mine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2013/09/09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2033/09/09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Ikwezi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Mining (Pty) Ltd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Doornkop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/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Ntendeka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2013/09/09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2033/09/09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Xstrata-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Merafe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Ferrochrome and mining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2013/10/04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2033/10/04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Aquarius SA Platinum Mine (Pty) Ltd: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Marikana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Platinum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2013/10/04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2022/10/04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Mr.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Christoffel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Johannes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Pienaar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2013/10/20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2016/10/20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Anglo American Thermal Coal (Pty) Ltd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Isibonelo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2013/10/03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2033/10/10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Bio2Watt (Pty) Ltd: Bronkhorstspruit Biogas Plant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Biogas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2013/10/10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2033/10/10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Exxaro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Pty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Matla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Water treatment Plant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2013/14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2034/03/17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Optimum Coal Holdings: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Klipbank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Section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2014/06/18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2034/06/18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35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De Beers Consolidated Mines (Pty) Ltd: Kimberly Mines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2014/06/18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2034/06/18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Tendele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Coal Mining (Pty) Ltd: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Somkele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Anthracite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2014/08/04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2034/08/04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Koornfontein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Mines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Koornfontein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Process Plant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2014/06/18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2034/06/18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Koornfontein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Mines (Pty) Ltd: Gloria Section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2014/06/18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2034/06/18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Koornfontein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Mines (Pty) Ltd):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Blinkpan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Section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2014/06/18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2034/06/18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Mission Point Trading 41(Pty)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2014/07/29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2020/07/29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Orcon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Brick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Clay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2014/07/29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2019/07/29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Sedibeng Iron Ore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Iron Ore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2014/07/17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2039/07/17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Tronox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KZN Sands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2014/07/22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2034/07/17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Anglo American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Inyosi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Kriel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2014/07/23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2029/07/23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Canyon Resources (Pty Ltd: </w:t>
            </w:r>
            <w:proofErr w:type="spellStart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Hakhano</w:t>
            </w:r>
            <w:proofErr w:type="spellEnd"/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2014/08/22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2034/08/22</w:t>
            </w:r>
          </w:p>
        </w:tc>
      </w:tr>
      <w:tr w:rsidR="004E6BF1" w:rsidRPr="004E6BF1" w:rsidTr="004E6BF1">
        <w:trPr>
          <w:trHeight w:val="1211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Anglo American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Inyosi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(Pty) Ltd: New Largo Colliery R545 Provincial Road Re-alignment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2014/08/22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2024/08/22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Ingcambu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Investment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Thutsi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2014/09/30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2015/01/30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Black Mountain Mining (Pty) Ltd: (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Gamsberg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Zinc Mine)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Zinc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2014/09/30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2034/09/30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Exxaro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(Pty) Ltd: North Block Complex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2014/09/26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2031/09/26</w:t>
            </w:r>
          </w:p>
        </w:tc>
      </w:tr>
      <w:tr w:rsidR="004E6BF1" w:rsidRPr="004E6BF1" w:rsidTr="004E6BF1">
        <w:trPr>
          <w:trHeight w:val="68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Universal Coal Development IV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Roodekop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2014/09/26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2034/09/26</w:t>
            </w:r>
          </w:p>
        </w:tc>
      </w:tr>
      <w:tr w:rsidR="004E6BF1" w:rsidRPr="004E6BF1" w:rsidTr="004E6BF1">
        <w:trPr>
          <w:trHeight w:val="88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Xstrata South Africa (Pty) Ltd - Xstrata Alloys Rustenburg Works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2014/09/26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2034/09/26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Sishen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Iron Ore Company (Pty) (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Kolomela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Iron Ore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2034/12/01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Pretoria Portland Cement Company Ltd: Slurry Plant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Cement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2035/01/11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Coastal Fuels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Droogvallei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2021/01/11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Marubising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Trading &amp; Projects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2017/01/11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African Mining and Trust Company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Wonderstone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Limited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2035/01/11</w:t>
            </w:r>
          </w:p>
        </w:tc>
      </w:tr>
      <w:tr w:rsidR="004E6BF1" w:rsidRPr="004E6BF1" w:rsidTr="004E6BF1">
        <w:trPr>
          <w:trHeight w:val="88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Anglo American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Inyosi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(Pty) Ltd: New Largo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2045/01/11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Bakwena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Platinum Corridor Consortium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2050/01/11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59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Barberton Mines (Pty) Ltd: Sheba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2022/01/11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Glencore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Operations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Kroondal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Chrome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2040/01/11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Pretoria Portland Cement Co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Beestekraal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Cement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2018/11/01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Alexkor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SOC Limited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2035/01/11</w:t>
            </w:r>
          </w:p>
        </w:tc>
      </w:tr>
      <w:tr w:rsidR="004E6BF1" w:rsidRPr="004E6BF1" w:rsidTr="004E6BF1">
        <w:trPr>
          <w:trHeight w:val="81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Glencore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Operations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Waterval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East and West Chrome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2040/01/11</w:t>
            </w:r>
          </w:p>
        </w:tc>
      </w:tr>
      <w:tr w:rsidR="004E6BF1" w:rsidRPr="004E6BF1" w:rsidTr="007F1E20">
        <w:trPr>
          <w:trHeight w:val="133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Samancor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Chrome Limited: Western Chrome Mines: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Millsell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and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Waterkloof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Sections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2040/01/11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Tegeta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Resources and Exploration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Brakfontein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2029/12/22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Afrisam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South Africa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Ulco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Operations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Cement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2040/01/11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Keaton Mining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Vanngatfontein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2035/01/11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68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Transvaal Gold Mine Estate (Pty) Ltd: (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Glynns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Lydenburg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2027/01/11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69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Transvaal Gold Mine Estate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Rietfontein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Underground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2032/01/11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Perisat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Investments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Rirhandzu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2024/12/01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ASA Metals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Dilokong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Chrome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2034/12/17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Mafube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Mining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Wildfontein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2019/12/01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Mafube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Mining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Nooitgedacht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2028/12/01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Mafube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Mining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Springboklaagte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Pan 1&amp;2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2017/12/01</w:t>
            </w:r>
          </w:p>
        </w:tc>
      </w:tr>
      <w:tr w:rsidR="004E6BF1" w:rsidRPr="004E6BF1" w:rsidTr="007F1E20">
        <w:trPr>
          <w:trHeight w:val="133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Eskom Holdings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Kusile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Power Station Project (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Sibongindawo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Primary School)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2054/12/01</w:t>
            </w:r>
          </w:p>
        </w:tc>
      </w:tr>
      <w:tr w:rsidR="004E6BF1" w:rsidRPr="004E6BF1" w:rsidTr="007F1E20">
        <w:trPr>
          <w:trHeight w:val="10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MAC Group of Companies: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Mactransco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Railway Siding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2015/01/12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2034/01/12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Benicon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Mining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Bankfontein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Project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2014/12/01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2019/12/01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Tshedza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Resources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Manungu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2015/02/23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2030/02/23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79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Wescoal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Elandspruit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2015/03/28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2035/03/28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Krosa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(Pty) Ltd: Sand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2015/03/28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2035/03/28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Grootegeluk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mine and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Reductants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(char)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2014/15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2015/03/28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2035/03/28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Namakwa Diamonds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Doornhoek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Workings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2015/04/19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2016/04/19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83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United Manganese of Kalahari (UMK)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Manganese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2015/04/19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2035/04/19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Crown Resources (Pty) LTD: (Kimberly Underground Mines Joint Venture)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2015/04/19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2035/04/19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Tshipi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e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Ntle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Manganese Mining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Manganese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2015/04/19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2041/04/19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Northern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Weltevreden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2015/04/19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2033/04/19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Onderberg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Verwerkings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Ko-Operasie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Beperk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2015/04/30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2030/04/30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Eagle Granite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Granite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2015/04/30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2025/04/30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Just Coal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Bankfontein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2015/05/08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2020/05/08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Puckree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Group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Bultfontein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2015/05/08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2020/05/08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Diamond Resources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Kareevlei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2015/05/08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2027/05/08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Trollope Holdings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Kleinwater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2015/06/16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2017/06/16</w:t>
            </w:r>
          </w:p>
        </w:tc>
      </w:tr>
      <w:tr w:rsidR="004E6BF1" w:rsidRPr="004E6BF1" w:rsidTr="007F1E20">
        <w:trPr>
          <w:trHeight w:val="80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Hoshoza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Resources Vryheid (Pty) Ltd: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Karobo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2015/06/11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2022/06/11</w:t>
            </w:r>
          </w:p>
        </w:tc>
      </w:tr>
      <w:tr w:rsidR="004E6BF1" w:rsidRPr="004E6BF1" w:rsidTr="007F1E20">
        <w:trPr>
          <w:trHeight w:val="5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Msobo</w:t>
            </w:r>
            <w:proofErr w:type="spellEnd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Coal (Pty)Ltd- </w:t>
            </w:r>
            <w:proofErr w:type="spellStart"/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Goedverwachting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2015/07/17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2019/07/17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Sibanye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Gold Limited: Cooke Operations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2015/07/17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2024/07/17</w:t>
            </w:r>
          </w:p>
        </w:tc>
      </w:tr>
      <w:tr w:rsidR="004E6BF1" w:rsidRPr="004E6BF1" w:rsidTr="007F1E20">
        <w:trPr>
          <w:trHeight w:val="14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Glencore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Operations South Africa (Pty)Ltd: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Tweefontein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Water Treatment Plant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2015/07/16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2055/07/16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Ikwezi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Ngagane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Sliding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2015/07/16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2050/07/16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98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Glenco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South Africa (Pty): Ltd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Impunzi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Complex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2015/07/16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2025/07/16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99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Eyethu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Leeupoort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2015/07/16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2020/07/16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Phoenix Platinum Mining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2015/07/16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2035/07/16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Mpumalanga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Matla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2015/07/16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2035/07/16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Maseve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Investment II (Pty) Ltd Western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Bushveld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Joint Venture Project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2015/07/16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2035/07/16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Glencore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operations SA: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Zonnebloem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2015/07/16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2045/07/16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Iyanga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Klipfontein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2020/08/16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Itireleng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Bakgatla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Mineral Resources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Sedibelo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Platinum Project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2035/08/16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Blue Nightingale Trading 817 (Pty) Limited: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Sisebenzi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2020/08/16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Harmony Gold Mining Company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Kusasalethu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and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Deelkraal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Operation)                           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2015/07/17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2038/07/17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Northern coal (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Jugtlust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Mini Pit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2035/08/25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109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Sasol Mining (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) Ltd: Borrow pits Project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2021/08/25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Sasol Mining (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Irenedale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Mine-Service Water Dam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2021/08/25</w:t>
            </w:r>
          </w:p>
        </w:tc>
      </w:tr>
      <w:tr w:rsidR="004E6BF1" w:rsidRPr="004E6BF1" w:rsidTr="007F1E20">
        <w:trPr>
          <w:trHeight w:val="172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Anglo operations property limited acting through Anglo American coal division Greenside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2025/08/26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Royal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Bafokeng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Resources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Bafokeng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Rasimone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Platinum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2035/08/25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113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Rustenburg Platinum Mines Limited-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Amandelbult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Section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2035/08/25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Eyethu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 (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) Limited :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Mooifontein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2025/08/26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Schidtsdrift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Communal Property Association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2015/08/25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2025/08/25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Kebrafield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) Ltd: Roodepoort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2015/10/08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2021/10/08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Kromdraai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Kromdrai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2015/10/20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2017/10/20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Elandsfontein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2015/10/20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2020/10/20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Chamotte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Holdings (Pty) Ltd: Scotia Talc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2015/10/21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2035/10/21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Rooipoort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Developments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Rooipoort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2015/11/19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2035/11/19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Delmas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Kuyasa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2015/11/19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2035/11/19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Messina Platinum Mine: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Doornvlei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2015/11/19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2040/11/19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B and E International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2015/11/19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2035/11/19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Sky Chrome Mining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2015/11/19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2029/11/19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Eyethu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Leeuwpoort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colliery-T&amp;DB SECTION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2015/11/19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2019/11/19</w:t>
            </w:r>
          </w:p>
        </w:tc>
      </w:tr>
      <w:tr w:rsidR="004E6BF1" w:rsidRPr="004E6BF1" w:rsidTr="007F1E20">
        <w:trPr>
          <w:trHeight w:val="14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Glencore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south Africa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) Ltd-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Glencore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Alloys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Wonderkop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Operation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2015/11/19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2035/11/19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Cozispot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Welgemeend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2015/11/20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2050/11/20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Glencore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Operations SA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2035/12/18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Leeuwpan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 Mine IO and OL Expansion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2035/12/18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130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Linarox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Welstand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2040/12/18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Wide Investments 100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Mashwening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Iron Ore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Iron Ore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2030/12/18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Scarlet Sun 15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2023/12/18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Wescoal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Mining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Intibane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2020/12/18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Thabametsi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2035/12/18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Limpopo Coal Company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Vele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Colliery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2035/12/18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Henric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Ferrochrome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Maroelabult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Section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2035/12/18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Grootegeluk</w:t>
            </w:r>
            <w:proofErr w:type="spellEnd"/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 xml:space="preserve"> Coal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2015/12/18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2040/12/18</w:t>
            </w:r>
          </w:p>
        </w:tc>
      </w:tr>
      <w:tr w:rsidR="004E6BF1" w:rsidRPr="004E6BF1" w:rsidTr="007F1E20">
        <w:trPr>
          <w:trHeight w:val="14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Glencore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South Africa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) Ltd 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Tweefontein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Road Re-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alingnment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Project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2015/12/23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2035/12/18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Assmang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(Pty) Ltd- Black Rock Mine Operations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2015/10/21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2035/10/20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Ferrometals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: A division of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Samancor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Chrome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2015/12/24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2035/12/24</w:t>
            </w:r>
          </w:p>
        </w:tc>
      </w:tr>
      <w:tr w:rsidR="004E6BF1" w:rsidRPr="004E6BF1" w:rsidTr="007F1E20">
        <w:trPr>
          <w:trHeight w:val="5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  <w:t>Thaba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  <w:t>Chueu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  <w:t xml:space="preserve"> Mining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  <w:t>2015/10/21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2035/10/21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Baobab Mining and exploration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Makhado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 Project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en-ZA"/>
              </w:rPr>
              <w:t>2015/10/21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2035/12/18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Theta Mining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Drooge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Veldtalluvial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Diamond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2015/12/24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2025/12/24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Glencore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Operations SA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Oogiesfontein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2015/12/24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2023/12/24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145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Koffiefontein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 Joint Venture-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Koffiefontein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2015/12/24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2025/12/24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Overlooked Colliery 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2015/12/24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2025/12/24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Ezulwini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Company (Pty) Ltd: Cooke 4 Operation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2015/06/11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2035/06/11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Sephaku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Delmas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Cement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Cement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2016/01/15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2036/01/15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New Diamond Corporation: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Schimdtsdrift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2015/12/24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2035/12/24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BHP Billiton Energy Coal South Africa (Pty) Limited: 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Wolvekrans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2016/01/22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2036/01/22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Universal Pulse Trading 132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2016/01/22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2020/01/22</w:t>
            </w:r>
          </w:p>
        </w:tc>
      </w:tr>
      <w:tr w:rsidR="004E6BF1" w:rsidRPr="004E6BF1" w:rsidTr="007F1E20">
        <w:trPr>
          <w:trHeight w:val="14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Samancor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Chrome (Pty) Ltd: Western Chrome Mines,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Buffelsfontein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Operation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2016/01/22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2041/01/22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Anglo Operations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) Ltd: Elders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2016/08/10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Anglo Operations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) Ltd: Elders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2016/08/10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Anglo American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Inyosi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Zibulo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 23 km Dirty Water pipeline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2037/02/22</w:t>
            </w:r>
          </w:p>
        </w:tc>
      </w:tr>
      <w:tr w:rsidR="004E6BF1" w:rsidRPr="004E6BF1" w:rsidTr="007F1E20">
        <w:trPr>
          <w:trHeight w:val="172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Anglo American Platinum: Rustenburg Platinum Mines Limited: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Mototolo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Joint Venture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2036/02/22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HCI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Nokuhle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2036/02/22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Iyanda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Railway Siding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2056/02/22</w:t>
            </w:r>
          </w:p>
        </w:tc>
      </w:tr>
      <w:tr w:rsidR="004E6BF1" w:rsidRPr="004E6BF1" w:rsidTr="007F1E20">
        <w:trPr>
          <w:trHeight w:val="14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159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Pty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Arnot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Mooifontein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Portion 1,7 and 0 (Remainder)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2031/02/22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Shanduka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Springlake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2041/02/22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Modikwa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Platinum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2036/02/23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Mpumalanga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Arnot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2041/02/22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Samancor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Eastern Chrome Mine Pty (Ltd)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Spitskop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section)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2026/02/23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De Beers Consolidated Mines (Pty) Ltd: Venetia Mines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2036/02/23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H.J.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Kieck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-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Nieuwejaarsspruit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Sand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2026/02/26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Leeuw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and Exploration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Aviemore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 Extension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2041/02/26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Palabora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Copper Mine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2036/02/26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Chromex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(Pty) Ltd: Mecklenburg Chrome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Chrome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2027/02/26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169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Johannes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Hedrik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Kieck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2019/02/26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Richards Bay Minerals: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Zulti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South Mining Lease Area Project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2036/02/26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Richards Bay Minerals: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Zulti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North,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Tisand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and Smelter Site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2036/02/26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Richards Bay Minerals: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Zulti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Services corridor project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Kwa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-Zulu Natal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2036/02/26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173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Makole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Resources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Wachtbentjiesskop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2046/02/26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Idwala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Crypts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Vierfontein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2026/02/26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Londani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Nndanganeni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Hartogshof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Extension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2024/02/26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Yoctolux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Investment (PTY)Ltd: Coal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2021/02/26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South32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Khutala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Colliery: KSA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2016/02/26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2026/02/26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Rivanet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&amp; Exploration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2021/03/13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179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Sisheni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Iron Ore Company: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Kolomela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Iron Ore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2036/03/13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Tivani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2036/03/17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Hautian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SA Mining and Investments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2027/03/17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Sishen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Iron Ore Company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Sishen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 Operation HEF Plant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Iron Ore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2036/03/17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Vaalbult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Company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Vaalbult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2025/03/17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2032/03/17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Exxaro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Arnot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Coal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Mooifontein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2032/03/17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Crown Gold Recoveries (Pty) Ltd: Knights Operations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2024/03/17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Nungu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Trading 341 (Pty) Ltd;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Elandspruit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2036/03/17</w:t>
            </w:r>
          </w:p>
        </w:tc>
      </w:tr>
      <w:tr w:rsidR="004E6BF1" w:rsidRPr="004E6BF1" w:rsidTr="007F1E20">
        <w:trPr>
          <w:trHeight w:val="259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lastRenderedPageBreak/>
              <w:t>188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BHP Billiton Energy Coal South Africa (Pty) Limited:  Middelburg Mine Colliery (South Section)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2031/03/17</w:t>
            </w:r>
          </w:p>
        </w:tc>
      </w:tr>
      <w:tr w:rsidR="004E6BF1" w:rsidRPr="004E6BF1" w:rsidTr="007F1E20">
        <w:trPr>
          <w:trHeight w:val="144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Glencore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Operations SA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Tweefontein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Road Realignment Project Phase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2028/03/17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Iyanga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(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Welgelegen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2036/03/17</w:t>
            </w:r>
          </w:p>
        </w:tc>
      </w:tr>
      <w:tr w:rsidR="004E6BF1" w:rsidRPr="004E6BF1" w:rsidTr="007F1E20">
        <w:trPr>
          <w:trHeight w:val="8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Muhanga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Mines (Pty) Ltd: OP-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Goedenhoop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2022/03/17</w:t>
            </w:r>
          </w:p>
        </w:tc>
      </w:tr>
      <w:tr w:rsidR="004E6BF1" w:rsidRPr="004E6BF1" w:rsidTr="007F1E20">
        <w:trPr>
          <w:trHeight w:val="172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Aquarius Platinum SA (Pty) Ltd: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Marikana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Mine West- West Open Pit Tailings Storage Facility (Phase 1)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Platinum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2028/03/17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Afrimat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Aggregates (Trading) (Pty) Ltd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Cement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2036/03/17</w:t>
            </w:r>
          </w:p>
        </w:tc>
      </w:tr>
      <w:tr w:rsidR="004E6BF1" w:rsidRPr="004E6BF1" w:rsidTr="007F1E20">
        <w:trPr>
          <w:trHeight w:val="115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DMI Minerals SA (Pty) Ltd- Krone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Endora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Diamond Mining Project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2036/03/17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Anglo Operations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pty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ltd: Bank colliery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Coal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2016/03/29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2027/03/29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Ms N.S </w:t>
            </w: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Stuurman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2015/10/15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2020/10/15</w:t>
            </w:r>
          </w:p>
        </w:tc>
      </w:tr>
      <w:tr w:rsidR="004E6BF1" w:rsidRPr="004E6BF1" w:rsidTr="007F1E20">
        <w:trPr>
          <w:trHeight w:val="28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Mrs.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R.G Williams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2015/07/17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2020/07/17</w:t>
            </w:r>
          </w:p>
        </w:tc>
      </w:tr>
      <w:tr w:rsidR="004E6BF1" w:rsidRPr="004E6BF1" w:rsidTr="007F1E20">
        <w:trPr>
          <w:trHeight w:val="57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proofErr w:type="spellStart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Thandiwe</w:t>
            </w:r>
            <w:proofErr w:type="spellEnd"/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 xml:space="preserve"> Mining and Farming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Sand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2015/07/30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2018/03/30</w:t>
            </w:r>
          </w:p>
        </w:tc>
      </w:tr>
      <w:tr w:rsidR="004E6BF1" w:rsidRPr="004E6BF1" w:rsidTr="007F1E20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199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Mrs S.V.L Williams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Diamond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2015/10/15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6BF1" w:rsidRPr="004E6BF1" w:rsidRDefault="004E6BF1" w:rsidP="004E6BF1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</w:pPr>
            <w:r w:rsidRPr="004E6BF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ZA"/>
              </w:rPr>
              <w:t>2035/10/15</w:t>
            </w:r>
          </w:p>
        </w:tc>
      </w:tr>
    </w:tbl>
    <w:p w:rsidR="004E6BF1" w:rsidRPr="004E6BF1" w:rsidRDefault="004E6BF1" w:rsidP="004E6BF1">
      <w:pPr>
        <w:spacing w:after="200" w:line="276" w:lineRule="auto"/>
        <w:ind w:left="-426"/>
        <w:jc w:val="both"/>
        <w:rPr>
          <w:rFonts w:ascii="Arial" w:eastAsiaTheme="minorHAnsi" w:hAnsi="Arial" w:cs="Arial"/>
          <w:b/>
          <w:sz w:val="28"/>
          <w:szCs w:val="28"/>
          <w:lang w:val="en-ZA"/>
        </w:rPr>
      </w:pPr>
    </w:p>
    <w:p w:rsidR="004E6BF1" w:rsidRPr="0095517A" w:rsidRDefault="004E6BF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4E6BF1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F7" w:rsidRDefault="00215CF7">
      <w:r>
        <w:separator/>
      </w:r>
    </w:p>
  </w:endnote>
  <w:endnote w:type="continuationSeparator" w:id="0">
    <w:p w:rsidR="00215CF7" w:rsidRDefault="0021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2D" w:rsidRPr="002B3F42" w:rsidRDefault="007F422D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1213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NW1353E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2D" w:rsidRDefault="007F422D">
    <w:pPr>
      <w:pStyle w:val="Footer"/>
      <w:rPr>
        <w:rFonts w:ascii="Arial" w:hAnsi="Arial" w:cs="Arial"/>
        <w:sz w:val="16"/>
        <w:szCs w:val="16"/>
      </w:rPr>
    </w:pPr>
  </w:p>
  <w:p w:rsidR="007F422D" w:rsidRPr="002B3F42" w:rsidRDefault="007F422D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1213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NW1353E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F7" w:rsidRDefault="00215CF7">
      <w:r>
        <w:separator/>
      </w:r>
    </w:p>
  </w:footnote>
  <w:footnote w:type="continuationSeparator" w:id="0">
    <w:p w:rsidR="00215CF7" w:rsidRDefault="0021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2D" w:rsidRDefault="00F7263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2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22D" w:rsidRDefault="007F4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2D" w:rsidRPr="003E5759" w:rsidRDefault="007F422D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4759D"/>
    <w:rsid w:val="00152A3B"/>
    <w:rsid w:val="00152E1E"/>
    <w:rsid w:val="001539E6"/>
    <w:rsid w:val="0015791B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15CF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265A5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5599D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E7E13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67F31"/>
    <w:rsid w:val="00472ECA"/>
    <w:rsid w:val="00475B57"/>
    <w:rsid w:val="00476F6C"/>
    <w:rsid w:val="00481CC0"/>
    <w:rsid w:val="00485CC3"/>
    <w:rsid w:val="004A02D1"/>
    <w:rsid w:val="004A63AB"/>
    <w:rsid w:val="004B1A3E"/>
    <w:rsid w:val="004B1BAE"/>
    <w:rsid w:val="004B2369"/>
    <w:rsid w:val="004C2DE7"/>
    <w:rsid w:val="004C4049"/>
    <w:rsid w:val="004C457D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E6BF1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26EB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8770C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C6D2D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64A1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D2B44"/>
    <w:rsid w:val="007E2250"/>
    <w:rsid w:val="007E4C7C"/>
    <w:rsid w:val="007E69E6"/>
    <w:rsid w:val="007E7FDC"/>
    <w:rsid w:val="007F17EC"/>
    <w:rsid w:val="007F26AE"/>
    <w:rsid w:val="007F422D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8F724F"/>
    <w:rsid w:val="00900786"/>
    <w:rsid w:val="00903072"/>
    <w:rsid w:val="00911BE1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656AD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4B1D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354C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A7454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11D92"/>
    <w:rsid w:val="00E24799"/>
    <w:rsid w:val="00E25606"/>
    <w:rsid w:val="00E43153"/>
    <w:rsid w:val="00E514FB"/>
    <w:rsid w:val="00E529A0"/>
    <w:rsid w:val="00E53673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51B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638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089B"/>
    <w:rsid w:val="00FB38ED"/>
    <w:rsid w:val="00FB771F"/>
    <w:rsid w:val="00FC53C3"/>
    <w:rsid w:val="00FD12CF"/>
    <w:rsid w:val="00FD5B14"/>
    <w:rsid w:val="00FE11F9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F76B4"/>
    <w:pPr>
      <w:spacing w:after="120"/>
      <w:ind w:left="283"/>
    </w:pPr>
  </w:style>
  <w:style w:type="paragraph" w:styleId="Header">
    <w:name w:val="header"/>
    <w:basedOn w:val="Normal"/>
    <w:link w:val="HeaderChar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NoList1">
    <w:name w:val="No List1"/>
    <w:next w:val="NoList"/>
    <w:uiPriority w:val="99"/>
    <w:semiHidden/>
    <w:unhideWhenUsed/>
    <w:rsid w:val="004E6BF1"/>
  </w:style>
  <w:style w:type="character" w:customStyle="1" w:styleId="TitleChar">
    <w:name w:val="Title Char"/>
    <w:basedOn w:val="DefaultParagraphFont"/>
    <w:link w:val="Title"/>
    <w:rsid w:val="004E6BF1"/>
    <w:rPr>
      <w:rFonts w:ascii="Arial" w:hAnsi="Arial"/>
      <w:b/>
      <w:bCs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E6BF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E6BF1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6BF1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4E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semiHidden/>
    <w:rsid w:val="004E6B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F76B4"/>
    <w:pPr>
      <w:spacing w:after="120"/>
      <w:ind w:left="283"/>
    </w:pPr>
  </w:style>
  <w:style w:type="paragraph" w:styleId="Header">
    <w:name w:val="header"/>
    <w:basedOn w:val="Normal"/>
    <w:link w:val="HeaderChar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NoList1">
    <w:name w:val="No List1"/>
    <w:next w:val="NoList"/>
    <w:uiPriority w:val="99"/>
    <w:semiHidden/>
    <w:unhideWhenUsed/>
    <w:rsid w:val="004E6BF1"/>
  </w:style>
  <w:style w:type="character" w:customStyle="1" w:styleId="TitleChar">
    <w:name w:val="Title Char"/>
    <w:basedOn w:val="DefaultParagraphFont"/>
    <w:link w:val="Title"/>
    <w:rsid w:val="004E6BF1"/>
    <w:rPr>
      <w:rFonts w:ascii="Arial" w:hAnsi="Arial"/>
      <w:b/>
      <w:bCs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E6BF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E6BF1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6BF1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4E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semiHidden/>
    <w:rsid w:val="004E6B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3175</Words>
  <Characters>18104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2016-05-04T10:23:00Z</cp:lastPrinted>
  <dcterms:created xsi:type="dcterms:W3CDTF">2016-05-24T11:02:00Z</dcterms:created>
  <dcterms:modified xsi:type="dcterms:W3CDTF">2016-05-24T11:02:00Z</dcterms:modified>
</cp:coreProperties>
</file>