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8B39F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43AC1">
        <w:rPr>
          <w:rFonts w:ascii="Arial" w:eastAsia="Arial Unicode MS" w:hAnsi="Arial" w:cs="Arial"/>
          <w:b/>
          <w:bCs/>
          <w:bdr w:val="nil"/>
          <w:lang w:val="en-US"/>
        </w:rPr>
        <w:t>1207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D6989">
        <w:rPr>
          <w:rFonts w:ascii="Arial" w:eastAsia="Arial Unicode MS" w:hAnsi="Arial" w:cs="Arial"/>
          <w:b/>
          <w:bCs/>
          <w:bdr w:val="nil"/>
          <w:lang w:val="en-US"/>
        </w:rPr>
        <w:t>31 March 2023</w:t>
      </w:r>
    </w:p>
    <w:p w:rsidR="00DB6BD3" w:rsidRPr="00DB6BD3" w:rsidRDefault="008051F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D6989">
        <w:rPr>
          <w:rFonts w:ascii="Arial" w:eastAsia="Arial Unicode MS" w:hAnsi="Arial" w:cs="Arial"/>
          <w:b/>
          <w:bCs/>
          <w:bdr w:val="nil"/>
          <w:lang w:val="en-US"/>
        </w:rPr>
        <w:t>12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7D6989" w:rsidRPr="00DB6BD3" w:rsidRDefault="007D6989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B39F0" w:rsidP="007E0651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B39F0">
        <w:rPr>
          <w:rFonts w:ascii="Arial" w:eastAsia="Calibri" w:hAnsi="Arial" w:cs="Arial"/>
          <w:b/>
          <w:lang w:val="af-ZA"/>
        </w:rPr>
        <w:t xml:space="preserve">Ms H S Winkler </w:t>
      </w:r>
      <w:r w:rsidR="0093463C">
        <w:rPr>
          <w:rFonts w:ascii="Arial" w:eastAsia="Calibri" w:hAnsi="Arial" w:cs="Arial"/>
          <w:b/>
          <w:lang w:val="af-ZA"/>
        </w:rPr>
        <w:t>(DA</w:t>
      </w:r>
      <w:r w:rsidR="00736B41" w:rsidRPr="00736B41">
        <w:rPr>
          <w:rFonts w:ascii="Arial" w:eastAsia="Calibri" w:hAnsi="Arial" w:cs="Arial"/>
          <w:b/>
          <w:lang w:val="af-ZA"/>
        </w:rPr>
        <w:t>)</w:t>
      </w:r>
      <w:r w:rsidR="00736B41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643AC1" w:rsidRPr="00643AC1" w:rsidRDefault="00643AC1" w:rsidP="00643A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643AC1">
        <w:rPr>
          <w:rFonts w:ascii="Arial" w:eastAsia="Calibri" w:hAnsi="Arial" w:cs="Arial"/>
        </w:rPr>
        <w:t xml:space="preserve">(1) </w:t>
      </w:r>
      <w:r>
        <w:rPr>
          <w:rFonts w:ascii="Arial" w:eastAsia="Calibri" w:hAnsi="Arial" w:cs="Arial"/>
        </w:rPr>
        <w:tab/>
      </w:r>
      <w:r w:rsidRPr="00643AC1">
        <w:rPr>
          <w:rFonts w:ascii="Arial" w:eastAsia="Calibri" w:hAnsi="Arial" w:cs="Arial"/>
        </w:rPr>
        <w:t>What number of meetings (a) has the SA Tourism Board held in each year since 1 January 2019, (b) are they expected to have and (c) are the reasons for having had either more or fewer meetings than they were supposed to have;</w:t>
      </w:r>
    </w:p>
    <w:p w:rsidR="00643AC1" w:rsidRPr="00643AC1" w:rsidRDefault="00643AC1" w:rsidP="00643A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643AC1">
        <w:rPr>
          <w:rFonts w:ascii="Arial" w:eastAsia="Calibri" w:hAnsi="Arial" w:cs="Arial"/>
        </w:rPr>
        <w:t xml:space="preserve">(2) </w:t>
      </w:r>
      <w:r>
        <w:rPr>
          <w:rFonts w:ascii="Arial" w:eastAsia="Calibri" w:hAnsi="Arial" w:cs="Arial"/>
        </w:rPr>
        <w:tab/>
      </w:r>
      <w:r w:rsidRPr="00643AC1">
        <w:rPr>
          <w:rFonts w:ascii="Arial" w:eastAsia="Calibri" w:hAnsi="Arial" w:cs="Arial"/>
        </w:rPr>
        <w:t>what (a) number of meetings were held after three members resigned from the SA Tourism Board and (b) decisions were taken;</w:t>
      </w:r>
    </w:p>
    <w:p w:rsidR="00643AC1" w:rsidRDefault="00643AC1" w:rsidP="00643A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</w:rPr>
      </w:pPr>
      <w:r w:rsidRPr="00643AC1">
        <w:rPr>
          <w:rFonts w:ascii="Arial" w:eastAsia="Calibri" w:hAnsi="Arial" w:cs="Arial"/>
        </w:rPr>
        <w:t xml:space="preserve">(3) </w:t>
      </w:r>
      <w:r>
        <w:rPr>
          <w:rFonts w:ascii="Arial" w:eastAsia="Calibri" w:hAnsi="Arial" w:cs="Arial"/>
        </w:rPr>
        <w:tab/>
      </w:r>
      <w:r w:rsidRPr="00643AC1">
        <w:rPr>
          <w:rFonts w:ascii="Arial" w:eastAsia="Calibri" w:hAnsi="Arial" w:cs="Arial"/>
        </w:rPr>
        <w:t xml:space="preserve">whether she will provide Ms H Ismail with the registers and minutes of the meetings? </w:t>
      </w:r>
    </w:p>
    <w:p w:rsidR="00592ABA" w:rsidRDefault="00643AC1" w:rsidP="00643A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643AC1">
        <w:rPr>
          <w:rFonts w:ascii="Arial" w:eastAsia="Calibri" w:hAnsi="Arial" w:cs="Arial"/>
        </w:rPr>
        <w:t>NW1348E</w:t>
      </w:r>
    </w:p>
    <w:p w:rsidR="008051FD" w:rsidRDefault="008051FD" w:rsidP="003638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47EC9" w:rsidRDefault="00447EC9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2D6EDC" w:rsidRDefault="005B1692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(1)</w:t>
      </w:r>
      <w:r>
        <w:rPr>
          <w:rFonts w:ascii="Arial" w:eastAsia="Calibri" w:hAnsi="Arial" w:cs="Arial"/>
          <w:lang w:val="en-GB"/>
        </w:rPr>
        <w:tab/>
      </w:r>
      <w:r w:rsidR="009635B3">
        <w:rPr>
          <w:rFonts w:ascii="Arial" w:eastAsia="Calibri" w:hAnsi="Arial" w:cs="Arial"/>
          <w:lang w:val="en-GB"/>
        </w:rPr>
        <w:t>I have been informed by SA Tourism as follows:</w:t>
      </w:r>
    </w:p>
    <w:p w:rsidR="005B1692" w:rsidRDefault="005B1692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1488"/>
        <w:gridCol w:w="1489"/>
        <w:gridCol w:w="5239"/>
      </w:tblGrid>
      <w:tr w:rsidR="005B1692" w:rsidTr="00E779AC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Years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(a)  Number of meetings held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5B1692" w:rsidRDefault="005B1692" w:rsidP="005B169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(b)  Number of meetings expected to have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(c) Reasons for having had  more or fewer meetings</w:t>
            </w:r>
          </w:p>
        </w:tc>
      </w:tr>
      <w:tr w:rsidR="005B1692" w:rsidTr="005B1692">
        <w:tc>
          <w:tcPr>
            <w:tcW w:w="1696" w:type="dxa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 Jan – 31 Dec 2019</w:t>
            </w:r>
          </w:p>
        </w:tc>
        <w:tc>
          <w:tcPr>
            <w:tcW w:w="1488" w:type="dxa"/>
          </w:tcPr>
          <w:p w:rsidR="005B1692" w:rsidRDefault="009F7E3F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12</w:t>
            </w:r>
          </w:p>
        </w:tc>
        <w:tc>
          <w:tcPr>
            <w:tcW w:w="1489" w:type="dxa"/>
          </w:tcPr>
          <w:p w:rsidR="005B1692" w:rsidRDefault="009F7E3F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5239" w:type="dxa"/>
          </w:tcPr>
          <w:p w:rsidR="005B1692" w:rsidRDefault="009F7E3F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As a result of the Covid-19 pandemic, the Board had to convene special Board meetings </w:t>
            </w:r>
            <w:r w:rsidR="00DA282D">
              <w:rPr>
                <w:rFonts w:ascii="Arial" w:eastAsia="Calibri" w:hAnsi="Arial" w:cs="Arial"/>
                <w:lang w:val="en-GB"/>
              </w:rPr>
              <w:t xml:space="preserve">in response to the pandemic, establish new ways of working, drafting of sector recovery plans etc. </w:t>
            </w:r>
          </w:p>
        </w:tc>
      </w:tr>
      <w:tr w:rsidR="005B1692" w:rsidTr="005B1692">
        <w:tc>
          <w:tcPr>
            <w:tcW w:w="1696" w:type="dxa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 Jan – 31 Dec 2020</w:t>
            </w:r>
          </w:p>
        </w:tc>
        <w:tc>
          <w:tcPr>
            <w:tcW w:w="1488" w:type="dxa"/>
          </w:tcPr>
          <w:p w:rsidR="005B1692" w:rsidRDefault="00DA282D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24</w:t>
            </w:r>
          </w:p>
        </w:tc>
        <w:tc>
          <w:tcPr>
            <w:tcW w:w="1489" w:type="dxa"/>
          </w:tcPr>
          <w:p w:rsidR="005B1692" w:rsidRDefault="00DA282D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5239" w:type="dxa"/>
          </w:tcPr>
          <w:p w:rsidR="005B1692" w:rsidRDefault="00DA282D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As a result of the Covid-19 pandemic, the Board had to convene special Board meetings in response to the pandemic, establish new ways of working, drafting of sector recovery plans etc. </w:t>
            </w:r>
            <w:r w:rsidR="00E16E56">
              <w:rPr>
                <w:rFonts w:ascii="Arial" w:eastAsia="Calibri" w:hAnsi="Arial" w:cs="Arial"/>
                <w:lang w:val="en-GB"/>
              </w:rPr>
              <w:t>The</w:t>
            </w:r>
            <w:r>
              <w:rPr>
                <w:rFonts w:ascii="Arial" w:eastAsia="Calibri" w:hAnsi="Arial" w:cs="Arial"/>
                <w:lang w:val="en-GB"/>
              </w:rPr>
              <w:t xml:space="preserve"> Board resorted to weekly working </w:t>
            </w:r>
            <w:r w:rsidR="009635B3">
              <w:rPr>
                <w:rFonts w:ascii="Arial" w:eastAsia="Calibri" w:hAnsi="Arial" w:cs="Arial"/>
                <w:lang w:val="en-GB"/>
              </w:rPr>
              <w:t>meetings</w:t>
            </w:r>
          </w:p>
        </w:tc>
      </w:tr>
      <w:tr w:rsidR="005B1692" w:rsidTr="005B1692">
        <w:tc>
          <w:tcPr>
            <w:tcW w:w="1696" w:type="dxa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 Jan – 31 Dec 2021</w:t>
            </w:r>
          </w:p>
        </w:tc>
        <w:tc>
          <w:tcPr>
            <w:tcW w:w="1488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17</w:t>
            </w:r>
          </w:p>
        </w:tc>
        <w:tc>
          <w:tcPr>
            <w:tcW w:w="1489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5239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As a result of the Covid-19 pandemic, the Board had to convene special Board meetings in response to the pandemic, establish new ways of working, drafting of sector recovery plans etc. </w:t>
            </w:r>
          </w:p>
        </w:tc>
      </w:tr>
      <w:tr w:rsidR="005B1692" w:rsidTr="005B1692">
        <w:tc>
          <w:tcPr>
            <w:tcW w:w="1696" w:type="dxa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 Jan – 31 Dec 2022</w:t>
            </w:r>
          </w:p>
        </w:tc>
        <w:tc>
          <w:tcPr>
            <w:tcW w:w="1488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16</w:t>
            </w:r>
          </w:p>
        </w:tc>
        <w:tc>
          <w:tcPr>
            <w:tcW w:w="1489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5239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Period starting 1 January 2022 to 31 May 2022, </w:t>
            </w:r>
            <w:r w:rsidR="00FF6DE2">
              <w:rPr>
                <w:rFonts w:ascii="Arial" w:eastAsia="Calibri" w:hAnsi="Arial" w:cs="Arial"/>
                <w:lang w:val="en-GB"/>
              </w:rPr>
              <w:t xml:space="preserve">3 Board meetings were held. </w:t>
            </w:r>
          </w:p>
          <w:p w:rsidR="00FF6DE2" w:rsidRDefault="00FF6DE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</w:p>
          <w:p w:rsidR="00FF6DE2" w:rsidRDefault="00FF6DE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Period from 1 May 2022 to 1 August 2022, there </w:t>
            </w:r>
            <w:r>
              <w:rPr>
                <w:rFonts w:ascii="Arial" w:eastAsia="Calibri" w:hAnsi="Arial" w:cs="Arial"/>
                <w:lang w:val="en-GB"/>
              </w:rPr>
              <w:lastRenderedPageBreak/>
              <w:t xml:space="preserve">was no Board. The ACEO was appointed as the Accounting Authority. </w:t>
            </w:r>
          </w:p>
          <w:p w:rsidR="00FF6DE2" w:rsidRDefault="00FF6DE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</w:p>
          <w:p w:rsidR="00FF6DE2" w:rsidRDefault="00FF6DE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</w:t>
            </w:r>
            <w:r w:rsidR="009635B3">
              <w:rPr>
                <w:rFonts w:ascii="Arial" w:eastAsia="Calibri" w:hAnsi="Arial" w:cs="Arial"/>
                <w:lang w:val="en-GB"/>
              </w:rPr>
              <w:t xml:space="preserve"> September 2022 to December 2022</w:t>
            </w:r>
            <w:r>
              <w:rPr>
                <w:rFonts w:ascii="Arial" w:eastAsia="Calibri" w:hAnsi="Arial" w:cs="Arial"/>
                <w:lang w:val="en-GB"/>
              </w:rPr>
              <w:t>, 13 Board Me</w:t>
            </w:r>
            <w:r w:rsidR="0094153F">
              <w:rPr>
                <w:rFonts w:ascii="Arial" w:eastAsia="Calibri" w:hAnsi="Arial" w:cs="Arial"/>
                <w:lang w:val="en-GB"/>
              </w:rPr>
              <w:t>etings were held</w:t>
            </w:r>
          </w:p>
        </w:tc>
      </w:tr>
      <w:tr w:rsidR="005B1692" w:rsidTr="005B1692">
        <w:tc>
          <w:tcPr>
            <w:tcW w:w="1696" w:type="dxa"/>
          </w:tcPr>
          <w:p w:rsidR="005B1692" w:rsidRDefault="005B1692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1 Jan – 31 Mar 2023</w:t>
            </w:r>
          </w:p>
        </w:tc>
        <w:tc>
          <w:tcPr>
            <w:tcW w:w="1488" w:type="dxa"/>
          </w:tcPr>
          <w:p w:rsidR="005B1692" w:rsidRDefault="0094153F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15</w:t>
            </w:r>
          </w:p>
        </w:tc>
        <w:tc>
          <w:tcPr>
            <w:tcW w:w="1489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5239" w:type="dxa"/>
          </w:tcPr>
          <w:p w:rsidR="005B1692" w:rsidRDefault="00E16E56" w:rsidP="00F07282">
            <w:pPr>
              <w:tabs>
                <w:tab w:val="left" w:pos="567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The Board had to consider and approve the Tottenham Hotspur proposal and further deal with all the issues that arose from the proposal. </w:t>
            </w:r>
          </w:p>
        </w:tc>
      </w:tr>
    </w:tbl>
    <w:p w:rsidR="005B1692" w:rsidRDefault="005B1692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2D6EDC" w:rsidRDefault="008051FD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363815" w:rsidRDefault="005B1692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(2)</w:t>
      </w:r>
      <w:r>
        <w:rPr>
          <w:rFonts w:ascii="Arial" w:eastAsia="Calibri" w:hAnsi="Arial" w:cs="Arial"/>
          <w:lang w:val="en-GB"/>
        </w:rPr>
        <w:tab/>
        <w:t>Since the member</w:t>
      </w:r>
      <w:r w:rsidR="00E250F3">
        <w:rPr>
          <w:rFonts w:ascii="Arial" w:eastAsia="Calibri" w:hAnsi="Arial" w:cs="Arial"/>
          <w:lang w:val="en-GB"/>
        </w:rPr>
        <w:t>s</w:t>
      </w:r>
      <w:r>
        <w:rPr>
          <w:rFonts w:ascii="Arial" w:eastAsia="Calibri" w:hAnsi="Arial" w:cs="Arial"/>
          <w:lang w:val="en-GB"/>
        </w:rPr>
        <w:t xml:space="preserve"> resigned on 2 February</w:t>
      </w:r>
      <w:r w:rsidR="00E06923">
        <w:rPr>
          <w:rFonts w:ascii="Arial" w:eastAsia="Calibri" w:hAnsi="Arial" w:cs="Arial"/>
          <w:lang w:val="en-GB"/>
        </w:rPr>
        <w:t xml:space="preserve"> 2023:</w:t>
      </w:r>
    </w:p>
    <w:p w:rsidR="005B1692" w:rsidRDefault="005B1692" w:rsidP="00E069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  <w:t xml:space="preserve">(a)  </w:t>
      </w:r>
      <w:r w:rsidR="00E06923">
        <w:rPr>
          <w:rFonts w:ascii="Arial" w:eastAsia="Calibri" w:hAnsi="Arial" w:cs="Arial"/>
          <w:lang w:val="en-GB"/>
        </w:rPr>
        <w:tab/>
        <w:t>T</w:t>
      </w:r>
      <w:r>
        <w:rPr>
          <w:rFonts w:ascii="Arial" w:eastAsia="Calibri" w:hAnsi="Arial" w:cs="Arial"/>
          <w:lang w:val="en-GB"/>
        </w:rPr>
        <w:t xml:space="preserve">he board had </w:t>
      </w:r>
      <w:r w:rsidR="0094153F">
        <w:rPr>
          <w:rFonts w:ascii="Arial" w:eastAsia="Calibri" w:hAnsi="Arial" w:cs="Arial"/>
          <w:lang w:val="en-GB"/>
        </w:rPr>
        <w:t>13</w:t>
      </w:r>
      <w:r>
        <w:rPr>
          <w:rFonts w:ascii="Arial" w:eastAsia="Calibri" w:hAnsi="Arial" w:cs="Arial"/>
          <w:lang w:val="en-GB"/>
        </w:rPr>
        <w:t xml:space="preserve"> meetings</w:t>
      </w:r>
    </w:p>
    <w:p w:rsidR="005B1692" w:rsidRPr="00281213" w:rsidRDefault="00E06923" w:rsidP="00E069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  <w:t>(b)</w:t>
      </w:r>
      <w:r>
        <w:rPr>
          <w:rFonts w:ascii="Arial" w:eastAsia="Calibri" w:hAnsi="Arial" w:cs="Arial"/>
          <w:lang w:val="en-GB"/>
        </w:rPr>
        <w:tab/>
      </w:r>
      <w:r w:rsidRPr="00281213">
        <w:rPr>
          <w:rFonts w:ascii="Arial" w:eastAsia="Calibri" w:hAnsi="Arial" w:cs="Arial"/>
          <w:lang w:val="en-GB"/>
        </w:rPr>
        <w:t>T</w:t>
      </w:r>
      <w:r w:rsidR="005B1692" w:rsidRPr="00281213">
        <w:rPr>
          <w:rFonts w:ascii="Arial" w:eastAsia="Calibri" w:hAnsi="Arial" w:cs="Arial"/>
          <w:lang w:val="en-GB"/>
        </w:rPr>
        <w:t>he following decisions were taken</w:t>
      </w:r>
      <w:r w:rsidR="00F61ECE" w:rsidRPr="00281213">
        <w:rPr>
          <w:rFonts w:ascii="Arial" w:eastAsia="Calibri" w:hAnsi="Arial" w:cs="Arial"/>
          <w:lang w:val="en-GB"/>
        </w:rPr>
        <w:t xml:space="preserve"> – Please see attached resolutions.</w:t>
      </w:r>
    </w:p>
    <w:p w:rsidR="00E06923" w:rsidRPr="00281213" w:rsidRDefault="00E06923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E06923" w:rsidRPr="00281213" w:rsidRDefault="00E06923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8B39F0" w:rsidRPr="00281213" w:rsidRDefault="005B1692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  <w:r w:rsidRPr="00281213">
        <w:rPr>
          <w:rFonts w:ascii="Arial" w:eastAsia="Calibri" w:hAnsi="Arial" w:cs="Arial"/>
          <w:lang w:val="en-GB"/>
        </w:rPr>
        <w:t>(3)</w:t>
      </w:r>
      <w:r w:rsidRPr="00281213">
        <w:rPr>
          <w:rFonts w:ascii="Arial" w:eastAsia="Calibri" w:hAnsi="Arial" w:cs="Arial"/>
          <w:lang w:val="en-GB"/>
        </w:rPr>
        <w:tab/>
        <w:t>Provision of registers and minutes of the meetings.</w:t>
      </w:r>
      <w:r w:rsidR="00F61ECE" w:rsidRPr="00281213">
        <w:rPr>
          <w:rFonts w:ascii="Arial" w:eastAsia="Calibri" w:hAnsi="Arial" w:cs="Arial"/>
          <w:lang w:val="en-GB"/>
        </w:rPr>
        <w:t xml:space="preserve"> – </w:t>
      </w:r>
      <w:r w:rsidR="00281213">
        <w:rPr>
          <w:rFonts w:ascii="Arial" w:eastAsia="Calibri" w:hAnsi="Arial" w:cs="Arial"/>
          <w:lang w:val="en-GB"/>
        </w:rPr>
        <w:t xml:space="preserve">See attached </w:t>
      </w:r>
      <w:r w:rsidR="00F61ECE" w:rsidRPr="00281213">
        <w:rPr>
          <w:rFonts w:ascii="Arial" w:eastAsia="Calibri" w:hAnsi="Arial" w:cs="Arial"/>
          <w:lang w:val="en-GB"/>
        </w:rPr>
        <w:t xml:space="preserve">Board resolutions. </w:t>
      </w:r>
    </w:p>
    <w:p w:rsidR="009635B3" w:rsidRDefault="009635B3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color w:val="FF0000"/>
          <w:lang w:val="en-GB"/>
        </w:rPr>
      </w:pPr>
    </w:p>
    <w:p w:rsidR="008B39F0" w:rsidRDefault="008B39F0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8B39F0" w:rsidRDefault="00FC583F" w:rsidP="00F07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5E35EF" w:rsidRDefault="005E35EF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Default="005E35EF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Default="005E35EF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Default="005E35EF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Default="005E35EF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Default="005E35EF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E35EF" w:rsidRPr="005E35EF" w:rsidRDefault="005E35EF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B75ED5" w:rsidRDefault="00B75ED5" w:rsidP="00F0728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B75ED5" w:rsidRDefault="00B75ED5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002354" w:rsidRDefault="00002354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02354" w:rsidRDefault="00002354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F07282" w:rsidRDefault="00F07282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F07282" w:rsidRDefault="00F07282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F07282" w:rsidRDefault="00F07282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F07282" w:rsidRDefault="00F07282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F07282" w:rsidRDefault="00F07282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02354" w:rsidRDefault="00002354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F07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sectPr w:rsidR="00047D27" w:rsidRPr="00047D27" w:rsidSect="005E35EF">
      <w:footerReference w:type="default" r:id="rId7"/>
      <w:headerReference w:type="first" r:id="rId8"/>
      <w:footerReference w:type="first" r:id="rId9"/>
      <w:pgSz w:w="11900" w:h="16840"/>
      <w:pgMar w:top="1134" w:right="985" w:bottom="1134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09" w:rsidRDefault="00AD1309">
      <w:pPr>
        <w:spacing w:after="0" w:line="240" w:lineRule="auto"/>
      </w:pPr>
      <w:r>
        <w:separator/>
      </w:r>
    </w:p>
  </w:endnote>
  <w:endnote w:type="continuationSeparator" w:id="0">
    <w:p w:rsidR="00AD1309" w:rsidRDefault="00AD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E779AC">
          <w:rPr>
            <w:rFonts w:ascii="Arial Narrow" w:hAnsi="Arial Narrow"/>
            <w:sz w:val="18"/>
            <w:szCs w:val="18"/>
          </w:rPr>
          <w:t>1207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7D6989">
          <w:rPr>
            <w:rFonts w:ascii="Arial Narrow" w:hAnsi="Arial Narrow"/>
            <w:sz w:val="18"/>
            <w:szCs w:val="18"/>
          </w:rPr>
          <w:t>134</w:t>
        </w:r>
        <w:r w:rsidR="00E779AC">
          <w:rPr>
            <w:rFonts w:ascii="Arial Narrow" w:hAnsi="Arial Narrow"/>
            <w:sz w:val="18"/>
            <w:szCs w:val="18"/>
          </w:rPr>
          <w:t>8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3318B8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3318B8" w:rsidRPr="00013AC6">
          <w:rPr>
            <w:rFonts w:ascii="Arial Narrow" w:hAnsi="Arial Narrow"/>
          </w:rPr>
          <w:fldChar w:fldCharType="separate"/>
        </w:r>
        <w:r w:rsidR="00153BB8">
          <w:rPr>
            <w:rFonts w:ascii="Arial Narrow" w:hAnsi="Arial Narrow"/>
            <w:noProof/>
          </w:rPr>
          <w:t>2</w:t>
        </w:r>
        <w:r w:rsidR="003318B8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AD130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AD1309">
    <w:pPr>
      <w:pStyle w:val="Footer1"/>
      <w:jc w:val="right"/>
    </w:pPr>
  </w:p>
  <w:p w:rsidR="001656DE" w:rsidRPr="006016C0" w:rsidRDefault="007D6989" w:rsidP="007E6D12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120</w:t>
    </w:r>
    <w:r w:rsidR="00E779AC">
      <w:rPr>
        <w:rFonts w:ascii="Arial Narrow" w:hAnsi="Arial Narrow"/>
        <w:sz w:val="18"/>
        <w:szCs w:val="18"/>
      </w:rPr>
      <w:t>7</w:t>
    </w:r>
    <w:r w:rsidR="00363815">
      <w:rPr>
        <w:rFonts w:ascii="Arial Narrow" w:hAnsi="Arial Narrow"/>
        <w:sz w:val="18"/>
        <w:szCs w:val="18"/>
      </w:rPr>
      <w:t xml:space="preserve"> (NW</w:t>
    </w:r>
    <w:r w:rsidR="00E779AC">
      <w:rPr>
        <w:rFonts w:ascii="Arial Narrow" w:hAnsi="Arial Narrow"/>
        <w:sz w:val="18"/>
        <w:szCs w:val="18"/>
      </w:rPr>
      <w:t>1348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09" w:rsidRDefault="00AD1309">
      <w:pPr>
        <w:spacing w:after="0" w:line="240" w:lineRule="auto"/>
      </w:pPr>
      <w:r>
        <w:separator/>
      </w:r>
    </w:p>
  </w:footnote>
  <w:footnote w:type="continuationSeparator" w:id="0">
    <w:p w:rsidR="00AD1309" w:rsidRDefault="00AD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7D9"/>
    <w:multiLevelType w:val="hybridMultilevel"/>
    <w:tmpl w:val="8A381A50"/>
    <w:lvl w:ilvl="0" w:tplc="A27C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538"/>
    <w:multiLevelType w:val="hybridMultilevel"/>
    <w:tmpl w:val="B48873DE"/>
    <w:lvl w:ilvl="0" w:tplc="5E0A0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0D1E"/>
    <w:multiLevelType w:val="hybridMultilevel"/>
    <w:tmpl w:val="08108944"/>
    <w:lvl w:ilvl="0" w:tplc="EF38E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1E34"/>
    <w:multiLevelType w:val="hybridMultilevel"/>
    <w:tmpl w:val="D7E06558"/>
    <w:lvl w:ilvl="0" w:tplc="9F5C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130E1"/>
    <w:multiLevelType w:val="hybridMultilevel"/>
    <w:tmpl w:val="323239AA"/>
    <w:lvl w:ilvl="0" w:tplc="FC0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1"/>
  </w:num>
  <w:num w:numId="6">
    <w:abstractNumId w:val="12"/>
  </w:num>
  <w:num w:numId="7">
    <w:abstractNumId w:val="23"/>
  </w:num>
  <w:num w:numId="8">
    <w:abstractNumId w:val="13"/>
  </w:num>
  <w:num w:numId="9">
    <w:abstractNumId w:val="19"/>
  </w:num>
  <w:num w:numId="10">
    <w:abstractNumId w:val="27"/>
  </w:num>
  <w:num w:numId="11">
    <w:abstractNumId w:val="4"/>
  </w:num>
  <w:num w:numId="12">
    <w:abstractNumId w:val="29"/>
  </w:num>
  <w:num w:numId="13">
    <w:abstractNumId w:val="9"/>
  </w:num>
  <w:num w:numId="14">
    <w:abstractNumId w:val="0"/>
  </w:num>
  <w:num w:numId="15">
    <w:abstractNumId w:val="20"/>
  </w:num>
  <w:num w:numId="16">
    <w:abstractNumId w:val="3"/>
  </w:num>
  <w:num w:numId="17">
    <w:abstractNumId w:val="16"/>
  </w:num>
  <w:num w:numId="18">
    <w:abstractNumId w:val="2"/>
  </w:num>
  <w:num w:numId="19">
    <w:abstractNumId w:val="6"/>
  </w:num>
  <w:num w:numId="20">
    <w:abstractNumId w:val="10"/>
  </w:num>
  <w:num w:numId="21">
    <w:abstractNumId w:val="25"/>
  </w:num>
  <w:num w:numId="22">
    <w:abstractNumId w:val="24"/>
  </w:num>
  <w:num w:numId="23">
    <w:abstractNumId w:val="22"/>
  </w:num>
  <w:num w:numId="24">
    <w:abstractNumId w:val="7"/>
  </w:num>
  <w:num w:numId="25">
    <w:abstractNumId w:val="30"/>
  </w:num>
  <w:num w:numId="26">
    <w:abstractNumId w:val="15"/>
  </w:num>
  <w:num w:numId="27">
    <w:abstractNumId w:val="11"/>
  </w:num>
  <w:num w:numId="28">
    <w:abstractNumId w:val="1"/>
  </w:num>
  <w:num w:numId="29">
    <w:abstractNumId w:val="17"/>
  </w:num>
  <w:num w:numId="30">
    <w:abstractNumId w:val="1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54948"/>
    <w:rsid w:val="00056361"/>
    <w:rsid w:val="00076CE0"/>
    <w:rsid w:val="000857D8"/>
    <w:rsid w:val="000D49FB"/>
    <w:rsid w:val="000E3E94"/>
    <w:rsid w:val="000F1151"/>
    <w:rsid w:val="000F4913"/>
    <w:rsid w:val="001059FF"/>
    <w:rsid w:val="00141A6F"/>
    <w:rsid w:val="00151D19"/>
    <w:rsid w:val="00153BB8"/>
    <w:rsid w:val="00193F9C"/>
    <w:rsid w:val="001B2BE2"/>
    <w:rsid w:val="001C7E21"/>
    <w:rsid w:val="00202498"/>
    <w:rsid w:val="002245E3"/>
    <w:rsid w:val="00281213"/>
    <w:rsid w:val="002B32D1"/>
    <w:rsid w:val="002C461C"/>
    <w:rsid w:val="002D3423"/>
    <w:rsid w:val="002D6EDC"/>
    <w:rsid w:val="003032AF"/>
    <w:rsid w:val="003318B8"/>
    <w:rsid w:val="0035411E"/>
    <w:rsid w:val="003614FA"/>
    <w:rsid w:val="00363815"/>
    <w:rsid w:val="003A10CF"/>
    <w:rsid w:val="003B3F96"/>
    <w:rsid w:val="003D4147"/>
    <w:rsid w:val="003D7F28"/>
    <w:rsid w:val="00447EC9"/>
    <w:rsid w:val="00490A93"/>
    <w:rsid w:val="004A5358"/>
    <w:rsid w:val="004C4166"/>
    <w:rsid w:val="004C562A"/>
    <w:rsid w:val="004F2C4A"/>
    <w:rsid w:val="004F54C9"/>
    <w:rsid w:val="00506321"/>
    <w:rsid w:val="00592ABA"/>
    <w:rsid w:val="005B1692"/>
    <w:rsid w:val="005B7594"/>
    <w:rsid w:val="005E1A1A"/>
    <w:rsid w:val="005E1DBB"/>
    <w:rsid w:val="005E35EF"/>
    <w:rsid w:val="005F1119"/>
    <w:rsid w:val="006010A3"/>
    <w:rsid w:val="00615126"/>
    <w:rsid w:val="0061799C"/>
    <w:rsid w:val="006335F8"/>
    <w:rsid w:val="00643AC1"/>
    <w:rsid w:val="006A6231"/>
    <w:rsid w:val="006B20E2"/>
    <w:rsid w:val="007345DF"/>
    <w:rsid w:val="00736B41"/>
    <w:rsid w:val="00736E28"/>
    <w:rsid w:val="00765093"/>
    <w:rsid w:val="00777955"/>
    <w:rsid w:val="007A257C"/>
    <w:rsid w:val="007D6989"/>
    <w:rsid w:val="007E0651"/>
    <w:rsid w:val="007E6D12"/>
    <w:rsid w:val="008051FD"/>
    <w:rsid w:val="00807DBA"/>
    <w:rsid w:val="00810D60"/>
    <w:rsid w:val="008137D4"/>
    <w:rsid w:val="00857718"/>
    <w:rsid w:val="00861CEC"/>
    <w:rsid w:val="008A1044"/>
    <w:rsid w:val="008A2821"/>
    <w:rsid w:val="008B39F0"/>
    <w:rsid w:val="008C442B"/>
    <w:rsid w:val="008F3D0C"/>
    <w:rsid w:val="0093463C"/>
    <w:rsid w:val="009413A3"/>
    <w:rsid w:val="0094153F"/>
    <w:rsid w:val="00950663"/>
    <w:rsid w:val="00956CE7"/>
    <w:rsid w:val="009635B3"/>
    <w:rsid w:val="00977B49"/>
    <w:rsid w:val="009849DC"/>
    <w:rsid w:val="009863F2"/>
    <w:rsid w:val="009945BD"/>
    <w:rsid w:val="009F7E3F"/>
    <w:rsid w:val="00A96F2D"/>
    <w:rsid w:val="00AA5F57"/>
    <w:rsid w:val="00AB2BD8"/>
    <w:rsid w:val="00AD1309"/>
    <w:rsid w:val="00B025B0"/>
    <w:rsid w:val="00B24E20"/>
    <w:rsid w:val="00B75ED5"/>
    <w:rsid w:val="00BA7422"/>
    <w:rsid w:val="00BC0BAA"/>
    <w:rsid w:val="00C03FFF"/>
    <w:rsid w:val="00C4519C"/>
    <w:rsid w:val="00C809F5"/>
    <w:rsid w:val="00CA2B32"/>
    <w:rsid w:val="00CE0094"/>
    <w:rsid w:val="00CE0D61"/>
    <w:rsid w:val="00CE1CD0"/>
    <w:rsid w:val="00CE2A6D"/>
    <w:rsid w:val="00CE637C"/>
    <w:rsid w:val="00D319C1"/>
    <w:rsid w:val="00D350AE"/>
    <w:rsid w:val="00D40BDF"/>
    <w:rsid w:val="00D44311"/>
    <w:rsid w:val="00D47B6A"/>
    <w:rsid w:val="00D9442B"/>
    <w:rsid w:val="00DA282D"/>
    <w:rsid w:val="00DA6EE7"/>
    <w:rsid w:val="00DB6BD3"/>
    <w:rsid w:val="00DC1973"/>
    <w:rsid w:val="00DD3F26"/>
    <w:rsid w:val="00DE4655"/>
    <w:rsid w:val="00E03CDF"/>
    <w:rsid w:val="00E06923"/>
    <w:rsid w:val="00E16E56"/>
    <w:rsid w:val="00E23119"/>
    <w:rsid w:val="00E250F3"/>
    <w:rsid w:val="00E57333"/>
    <w:rsid w:val="00E665D2"/>
    <w:rsid w:val="00E779AC"/>
    <w:rsid w:val="00EF5A52"/>
    <w:rsid w:val="00F07282"/>
    <w:rsid w:val="00F30415"/>
    <w:rsid w:val="00F37A82"/>
    <w:rsid w:val="00F51F48"/>
    <w:rsid w:val="00F61ECE"/>
    <w:rsid w:val="00FC583F"/>
    <w:rsid w:val="00FD1873"/>
    <w:rsid w:val="00FE56CB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2023-04-12T12:27:00Z</cp:lastPrinted>
  <dcterms:created xsi:type="dcterms:W3CDTF">2023-05-08T10:00:00Z</dcterms:created>
  <dcterms:modified xsi:type="dcterms:W3CDTF">2023-05-08T10:00:00Z</dcterms:modified>
</cp:coreProperties>
</file>