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6C1443" w:rsidRPr="006C1443" w:rsidRDefault="006C1443" w:rsidP="006C1443">
      <w:pPr>
        <w:spacing w:before="240" w:after="240" w:line="360" w:lineRule="auto"/>
        <w:jc w:val="center"/>
        <w:rPr>
          <w:rFonts w:ascii="Arial" w:hAnsi="Arial" w:cs="Arial"/>
          <w:b/>
          <w:bCs/>
          <w:lang w:val="en-ZA"/>
        </w:rPr>
      </w:pPr>
      <w:r w:rsidRPr="006C1443">
        <w:rPr>
          <w:rFonts w:ascii="Arial" w:hAnsi="Arial" w:cs="Arial"/>
          <w:b/>
          <w:bCs/>
          <w:lang w:val="en-ZA"/>
        </w:rPr>
        <w:t xml:space="preserve">NATIONAL ASSEMBLY </w:t>
      </w:r>
    </w:p>
    <w:p w:rsidR="006C1443" w:rsidRPr="006C1443" w:rsidRDefault="006C1443" w:rsidP="006C1443">
      <w:pPr>
        <w:spacing w:before="240" w:after="240" w:line="360" w:lineRule="auto"/>
        <w:jc w:val="center"/>
        <w:rPr>
          <w:rFonts w:ascii="Arial" w:hAnsi="Arial" w:cs="Arial"/>
          <w:b/>
          <w:bCs/>
          <w:lang w:val="en-ZA"/>
        </w:rPr>
      </w:pPr>
      <w:r w:rsidRPr="006C1443">
        <w:rPr>
          <w:rFonts w:ascii="Arial" w:hAnsi="Arial" w:cs="Arial"/>
          <w:b/>
          <w:bCs/>
          <w:lang w:val="en-ZA"/>
        </w:rPr>
        <w:t>FOR WRITTEN REPLY</w:t>
      </w:r>
    </w:p>
    <w:p w:rsidR="006C1443" w:rsidRPr="006C1443" w:rsidRDefault="006C1443" w:rsidP="006C1443">
      <w:pPr>
        <w:spacing w:before="240" w:after="240" w:line="360" w:lineRule="auto"/>
        <w:jc w:val="center"/>
        <w:rPr>
          <w:rFonts w:ascii="Arial" w:hAnsi="Arial" w:cs="Arial"/>
          <w:b/>
          <w:bCs/>
          <w:lang w:val="en-ZA"/>
        </w:rPr>
      </w:pPr>
      <w:r w:rsidRPr="006C1443">
        <w:rPr>
          <w:rFonts w:ascii="Arial" w:hAnsi="Arial" w:cs="Arial"/>
          <w:b/>
          <w:bCs/>
          <w:lang w:val="en-ZA"/>
        </w:rPr>
        <w:t>QUESTION 1203</w:t>
      </w:r>
    </w:p>
    <w:p w:rsidR="006C1443" w:rsidRPr="006C1443" w:rsidRDefault="006C1443" w:rsidP="006C1443">
      <w:pPr>
        <w:spacing w:before="240" w:after="240" w:line="360" w:lineRule="auto"/>
        <w:jc w:val="center"/>
        <w:rPr>
          <w:rFonts w:ascii="Arial" w:hAnsi="Arial" w:cs="Arial"/>
          <w:b/>
          <w:bCs/>
          <w:lang w:val="en-ZA"/>
        </w:rPr>
      </w:pPr>
      <w:r w:rsidRPr="006C1443">
        <w:rPr>
          <w:rFonts w:ascii="Arial" w:hAnsi="Arial" w:cs="Arial"/>
          <w:b/>
          <w:bCs/>
          <w:lang w:val="en-ZA"/>
        </w:rPr>
        <w:t>DATE OF PUBLICATION OF INTERNAL QUESTION PAPER: 12/06/2020</w:t>
      </w:r>
    </w:p>
    <w:p w:rsidR="006C1443" w:rsidRPr="006C1443" w:rsidRDefault="006C1443" w:rsidP="006C1443">
      <w:pPr>
        <w:spacing w:before="240" w:after="240" w:line="360" w:lineRule="auto"/>
        <w:jc w:val="center"/>
        <w:rPr>
          <w:rFonts w:ascii="Arial" w:hAnsi="Arial" w:cs="Arial"/>
          <w:b/>
          <w:bCs/>
          <w:lang w:val="en-ZA"/>
        </w:rPr>
      </w:pPr>
      <w:r w:rsidRPr="006C1443">
        <w:rPr>
          <w:rFonts w:ascii="Arial" w:hAnsi="Arial" w:cs="Arial"/>
          <w:b/>
          <w:bCs/>
          <w:lang w:val="en-ZA"/>
        </w:rPr>
        <w:t>INTERNAL QUESTION PAPER NO 20 OF 2020</w:t>
      </w:r>
    </w:p>
    <w:p w:rsidR="006C1443" w:rsidRPr="006C1443" w:rsidRDefault="006C1443" w:rsidP="006C1443">
      <w:pPr>
        <w:spacing w:before="240" w:after="240" w:line="360" w:lineRule="auto"/>
        <w:ind w:left="720" w:hanging="720"/>
        <w:jc w:val="both"/>
        <w:outlineLvl w:val="0"/>
        <w:rPr>
          <w:rFonts w:ascii="Arial" w:hAnsi="Arial" w:cs="Arial"/>
          <w:b/>
          <w:lang w:val="en-ZA"/>
        </w:rPr>
      </w:pPr>
      <w:r w:rsidRPr="006C1443">
        <w:rPr>
          <w:rFonts w:ascii="Arial" w:hAnsi="Arial" w:cs="Arial"/>
          <w:b/>
          <w:lang w:val="en-ZA"/>
        </w:rPr>
        <w:t xml:space="preserve">Prof B </w:t>
      </w:r>
      <w:proofErr w:type="spellStart"/>
      <w:r w:rsidRPr="006C1443">
        <w:rPr>
          <w:rFonts w:ascii="Arial" w:hAnsi="Arial" w:cs="Arial"/>
          <w:b/>
          <w:lang w:val="en-ZA"/>
        </w:rPr>
        <w:t>Bozzoli</w:t>
      </w:r>
      <w:proofErr w:type="spellEnd"/>
      <w:r w:rsidRPr="006C1443">
        <w:rPr>
          <w:rFonts w:ascii="Arial" w:hAnsi="Arial" w:cs="Arial"/>
          <w:b/>
          <w:lang w:val="en-ZA"/>
        </w:rPr>
        <w:t xml:space="preserve"> (DA) to ask the Minister of Higher Education, Science and Technology</w:t>
      </w:r>
      <w:r w:rsidRPr="006C1443">
        <w:rPr>
          <w:rFonts w:ascii="Arial" w:hAnsi="Arial" w:cs="Arial"/>
          <w:b/>
          <w:lang w:val="en-ZA"/>
        </w:rPr>
        <w:fldChar w:fldCharType="begin"/>
      </w:r>
      <w:r w:rsidRPr="006C1443">
        <w:rPr>
          <w:rFonts w:ascii="Arial" w:hAnsi="Arial" w:cs="Arial"/>
          <w:lang w:val="en-ZA"/>
        </w:rPr>
        <w:instrText xml:space="preserve"> XE "</w:instrText>
      </w:r>
      <w:r w:rsidRPr="006C1443">
        <w:rPr>
          <w:rFonts w:ascii="Arial" w:hAnsi="Arial" w:cs="Arial"/>
          <w:b/>
        </w:rPr>
        <w:instrText>Higher Education, Science and Technology</w:instrText>
      </w:r>
      <w:r w:rsidRPr="006C1443">
        <w:rPr>
          <w:rFonts w:ascii="Arial" w:hAnsi="Arial" w:cs="Arial"/>
          <w:lang w:val="en-ZA"/>
        </w:rPr>
        <w:instrText xml:space="preserve">" </w:instrText>
      </w:r>
      <w:r w:rsidRPr="006C1443">
        <w:rPr>
          <w:rFonts w:ascii="Arial" w:hAnsi="Arial" w:cs="Arial"/>
          <w:b/>
          <w:lang w:val="en-ZA"/>
        </w:rPr>
        <w:fldChar w:fldCharType="end"/>
      </w:r>
      <w:r w:rsidRPr="006C1443">
        <w:rPr>
          <w:rFonts w:ascii="Arial" w:hAnsi="Arial" w:cs="Arial"/>
          <w:b/>
          <w:lang w:val="en-ZA"/>
        </w:rPr>
        <w:t xml:space="preserve">: </w:t>
      </w:r>
    </w:p>
    <w:p w:rsidR="006C1443" w:rsidRPr="006C1443" w:rsidRDefault="006C1443" w:rsidP="006C1443">
      <w:pPr>
        <w:spacing w:before="240" w:after="240" w:line="360" w:lineRule="auto"/>
        <w:ind w:left="720" w:hanging="720"/>
        <w:jc w:val="both"/>
        <w:rPr>
          <w:rFonts w:ascii="Arial" w:eastAsia="Times New Roman" w:hAnsi="Arial" w:cs="Arial"/>
        </w:rPr>
      </w:pPr>
      <w:r w:rsidRPr="006C1443">
        <w:rPr>
          <w:rFonts w:ascii="Arial" w:eastAsia="Times New Roman" w:hAnsi="Arial" w:cs="Arial"/>
        </w:rPr>
        <w:t>(1)</w:t>
      </w:r>
      <w:r w:rsidRPr="006C1443">
        <w:rPr>
          <w:rFonts w:ascii="Arial" w:eastAsia="Times New Roman" w:hAnsi="Arial" w:cs="Arial"/>
        </w:rPr>
        <w:tab/>
        <w:t>(a) What number of times, (b) on what dates and (c) why was the Construction Education and Training Authority (CETA) sector education and training authority placed under administration in each year since its inception;</w:t>
      </w:r>
    </w:p>
    <w:p w:rsidR="006C1443" w:rsidRPr="006C1443" w:rsidRDefault="006C1443" w:rsidP="006C1443">
      <w:pPr>
        <w:spacing w:before="240" w:after="240" w:line="360" w:lineRule="auto"/>
        <w:ind w:left="720" w:hanging="720"/>
        <w:jc w:val="both"/>
        <w:rPr>
          <w:rFonts w:ascii="Arial" w:eastAsia="Times New Roman" w:hAnsi="Arial" w:cs="Arial"/>
        </w:rPr>
      </w:pPr>
      <w:r w:rsidRPr="006C1443">
        <w:rPr>
          <w:rFonts w:ascii="Arial" w:eastAsia="Times New Roman" w:hAnsi="Arial" w:cs="Arial"/>
        </w:rPr>
        <w:t>(2)</w:t>
      </w:r>
      <w:r w:rsidRPr="006C1443">
        <w:rPr>
          <w:rFonts w:ascii="Arial" w:eastAsia="Times New Roman" w:hAnsi="Arial" w:cs="Arial"/>
        </w:rPr>
        <w:tab/>
        <w:t>(a) what number of clean audits has CETA had since its inception and (b) by what amount has it underspent its income in each case;</w:t>
      </w:r>
    </w:p>
    <w:p w:rsidR="006C1443" w:rsidRPr="006C1443" w:rsidRDefault="006C1443" w:rsidP="006C1443">
      <w:pPr>
        <w:spacing w:before="240" w:after="240" w:line="360" w:lineRule="auto"/>
        <w:ind w:left="720" w:hanging="720"/>
        <w:jc w:val="both"/>
        <w:rPr>
          <w:rFonts w:ascii="Arial" w:eastAsia="Times New Roman" w:hAnsi="Arial" w:cs="Arial"/>
        </w:rPr>
      </w:pPr>
      <w:r w:rsidRPr="006C1443">
        <w:rPr>
          <w:rFonts w:ascii="Arial" w:eastAsia="Times New Roman" w:hAnsi="Arial" w:cs="Arial"/>
        </w:rPr>
        <w:t>(3)</w:t>
      </w:r>
      <w:r w:rsidRPr="006C1443">
        <w:rPr>
          <w:rFonts w:ascii="Arial" w:eastAsia="Times New Roman" w:hAnsi="Arial" w:cs="Arial"/>
        </w:rPr>
        <w:tab/>
        <w:t>what number of artisans has it trained to the point of qualification;</w:t>
      </w:r>
    </w:p>
    <w:p w:rsidR="006C1443" w:rsidRPr="006C1443" w:rsidRDefault="006C1443" w:rsidP="006C1443">
      <w:pPr>
        <w:spacing w:before="240" w:after="240" w:line="360" w:lineRule="auto"/>
        <w:ind w:left="720" w:hanging="720"/>
        <w:jc w:val="both"/>
        <w:rPr>
          <w:rFonts w:ascii="Arial" w:eastAsia="Times New Roman" w:hAnsi="Arial" w:cs="Arial"/>
          <w:lang w:val="en-US"/>
        </w:rPr>
      </w:pPr>
      <w:r w:rsidRPr="006C1443">
        <w:rPr>
          <w:rFonts w:ascii="Arial" w:eastAsia="Times New Roman" w:hAnsi="Arial" w:cs="Arial"/>
        </w:rPr>
        <w:t>(4)</w:t>
      </w:r>
      <w:r w:rsidRPr="006C1443">
        <w:rPr>
          <w:rFonts w:ascii="Arial" w:eastAsia="Times New Roman" w:hAnsi="Arial" w:cs="Arial"/>
        </w:rPr>
        <w:tab/>
        <w:t xml:space="preserve"> what number of instances of corruption have been uncovered</w:t>
      </w:r>
      <w:r w:rsidRPr="006C1443">
        <w:rPr>
          <w:rFonts w:ascii="Arial" w:eastAsia="Times New Roman" w:hAnsi="Arial" w:cs="Arial"/>
          <w:lang w:val="en-US"/>
        </w:rPr>
        <w:t>?</w:t>
      </w:r>
      <w:r w:rsidRPr="006C1443">
        <w:rPr>
          <w:rFonts w:ascii="Arial" w:eastAsia="Times New Roman" w:hAnsi="Arial" w:cs="Arial"/>
          <w:lang w:val="en-US"/>
        </w:rPr>
        <w:tab/>
      </w:r>
    </w:p>
    <w:p w:rsidR="006C1443" w:rsidRPr="006C1443" w:rsidRDefault="006C1443" w:rsidP="006C1443">
      <w:pPr>
        <w:spacing w:before="240" w:after="240" w:line="360" w:lineRule="auto"/>
        <w:ind w:left="7200" w:firstLine="720"/>
        <w:jc w:val="both"/>
        <w:rPr>
          <w:rFonts w:ascii="Arial" w:eastAsia="Times New Roman" w:hAnsi="Arial" w:cs="Arial"/>
          <w:b/>
          <w:lang w:val="en-US"/>
        </w:rPr>
      </w:pPr>
      <w:r w:rsidRPr="006C1443">
        <w:rPr>
          <w:rFonts w:ascii="Arial" w:eastAsia="Times New Roman" w:hAnsi="Arial" w:cs="Arial"/>
          <w:b/>
          <w:lang w:val="en-US"/>
        </w:rPr>
        <w:t>NW1508E</w:t>
      </w:r>
    </w:p>
    <w:p w:rsidR="006C1443" w:rsidRPr="006C1443" w:rsidRDefault="006C1443" w:rsidP="006C1443">
      <w:pPr>
        <w:spacing w:before="240" w:after="240" w:line="360" w:lineRule="auto"/>
        <w:jc w:val="both"/>
        <w:rPr>
          <w:rFonts w:ascii="Arial" w:hAnsi="Arial" w:cs="Arial"/>
          <w:b/>
        </w:rPr>
      </w:pPr>
    </w:p>
    <w:p w:rsidR="006C1443" w:rsidRPr="006C1443" w:rsidRDefault="006C1443"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A33C4F" w:rsidRDefault="00A33C4F" w:rsidP="006C1443">
      <w:pPr>
        <w:spacing w:before="240" w:after="240" w:line="360" w:lineRule="auto"/>
        <w:jc w:val="both"/>
        <w:rPr>
          <w:rFonts w:ascii="Arial" w:hAnsi="Arial" w:cs="Arial"/>
          <w:b/>
        </w:rPr>
      </w:pPr>
    </w:p>
    <w:p w:rsidR="006C1443" w:rsidRPr="006C1443" w:rsidRDefault="006C1443" w:rsidP="006C1443">
      <w:pPr>
        <w:spacing w:before="240" w:after="240" w:line="360" w:lineRule="auto"/>
        <w:jc w:val="both"/>
        <w:rPr>
          <w:rFonts w:ascii="Arial" w:hAnsi="Arial" w:cs="Arial"/>
          <w:b/>
        </w:rPr>
      </w:pPr>
      <w:r w:rsidRPr="006C1443">
        <w:rPr>
          <w:rFonts w:ascii="Arial" w:hAnsi="Arial" w:cs="Arial"/>
          <w:b/>
        </w:rPr>
        <w:lastRenderedPageBreak/>
        <w:t>REPLY:</w:t>
      </w:r>
    </w:p>
    <w:p w:rsidR="006C1443" w:rsidRPr="006C1443" w:rsidRDefault="006C1443" w:rsidP="006C1443">
      <w:pPr>
        <w:numPr>
          <w:ilvl w:val="0"/>
          <w:numId w:val="49"/>
        </w:numPr>
        <w:spacing w:before="240" w:after="240" w:line="360" w:lineRule="auto"/>
        <w:ind w:left="450" w:hanging="450"/>
        <w:contextualSpacing/>
        <w:jc w:val="both"/>
        <w:rPr>
          <w:rFonts w:ascii="Arial" w:hAnsi="Arial" w:cs="Arial"/>
        </w:rPr>
      </w:pPr>
      <w:r w:rsidRPr="006C1443">
        <w:rPr>
          <w:rFonts w:ascii="Arial" w:hAnsi="Arial" w:cs="Arial"/>
        </w:rPr>
        <w:t xml:space="preserve">(a) The Construction Education and Training Authority (CETA) was placed twice under administration. </w:t>
      </w:r>
    </w:p>
    <w:p w:rsidR="006C1443" w:rsidRPr="006C1443" w:rsidRDefault="006C1443" w:rsidP="006C1443">
      <w:pPr>
        <w:spacing w:before="240" w:after="240" w:line="360" w:lineRule="auto"/>
        <w:ind w:left="450"/>
        <w:contextualSpacing/>
        <w:jc w:val="both"/>
        <w:rPr>
          <w:rFonts w:ascii="Arial" w:hAnsi="Arial" w:cs="Arial"/>
        </w:rPr>
      </w:pPr>
      <w:r w:rsidRPr="006C1443">
        <w:rPr>
          <w:rFonts w:ascii="Arial" w:hAnsi="Arial" w:cs="Arial"/>
        </w:rPr>
        <w:t>(b)   25 March 2011 and 3 February 2020.</w:t>
      </w:r>
    </w:p>
    <w:p w:rsidR="006C1443" w:rsidRPr="006C1443" w:rsidRDefault="006C1443" w:rsidP="006C1443">
      <w:pPr>
        <w:spacing w:before="240" w:after="240" w:line="360" w:lineRule="auto"/>
        <w:ind w:left="450"/>
        <w:contextualSpacing/>
        <w:jc w:val="both"/>
        <w:rPr>
          <w:rFonts w:ascii="Arial" w:hAnsi="Arial" w:cs="Arial"/>
        </w:rPr>
      </w:pPr>
      <w:r w:rsidRPr="006C1443">
        <w:rPr>
          <w:rFonts w:ascii="Arial" w:hAnsi="Arial" w:cs="Arial"/>
        </w:rPr>
        <w:t>(c) In 2011, CETA was placed under administration due to allegations of financial    mismanagement and in 2020, due to allegations of corruption and financial mismanagement.</w:t>
      </w:r>
    </w:p>
    <w:p w:rsidR="006C1443" w:rsidRPr="006C1443" w:rsidRDefault="00A33C4F" w:rsidP="006C1443">
      <w:pPr>
        <w:spacing w:before="240" w:after="240" w:line="360" w:lineRule="auto"/>
        <w:jc w:val="both"/>
        <w:rPr>
          <w:rFonts w:ascii="Arial" w:hAnsi="Arial" w:cs="Arial"/>
        </w:rPr>
      </w:pPr>
      <w:r w:rsidRPr="006C1443">
        <w:rPr>
          <w:rFonts w:ascii="Arial" w:hAnsi="Arial" w:cs="Arial"/>
        </w:rPr>
        <w:t>(2) (a) CETA</w:t>
      </w:r>
      <w:r w:rsidR="006C1443" w:rsidRPr="006C1443">
        <w:rPr>
          <w:rFonts w:ascii="Arial" w:hAnsi="Arial" w:cs="Arial"/>
        </w:rPr>
        <w:t xml:space="preserve"> received four clean audits in the 2015/16, 2016/17, 2017/18 and 2018/19 financial years.</w:t>
      </w:r>
    </w:p>
    <w:p w:rsidR="006C1443" w:rsidRPr="006C1443" w:rsidRDefault="006C1443" w:rsidP="006C1443">
      <w:pPr>
        <w:spacing w:before="240" w:after="240" w:line="360" w:lineRule="auto"/>
        <w:jc w:val="both"/>
        <w:rPr>
          <w:rFonts w:ascii="Arial" w:hAnsi="Arial" w:cs="Arial"/>
        </w:rPr>
      </w:pPr>
      <w:r w:rsidRPr="006C1443">
        <w:rPr>
          <w:rFonts w:ascii="Arial" w:hAnsi="Arial" w:cs="Arial"/>
        </w:rPr>
        <w:t xml:space="preserve">       (b)  The total amounts of underspending are as follows:</w:t>
      </w:r>
    </w:p>
    <w:tbl>
      <w:tblPr>
        <w:tblStyle w:val="TableGrid"/>
        <w:tblW w:w="0" w:type="auto"/>
        <w:tblInd w:w="445" w:type="dxa"/>
        <w:tblLook w:val="04A0" w:firstRow="1" w:lastRow="0" w:firstColumn="1" w:lastColumn="0" w:noHBand="0" w:noVBand="1"/>
      </w:tblPr>
      <w:tblGrid>
        <w:gridCol w:w="3870"/>
        <w:gridCol w:w="4050"/>
      </w:tblGrid>
      <w:tr w:rsidR="006C1443" w:rsidRPr="006C1443" w:rsidTr="00D24AFC">
        <w:tc>
          <w:tcPr>
            <w:tcW w:w="3870" w:type="dxa"/>
          </w:tcPr>
          <w:p w:rsidR="006C1443" w:rsidRPr="006C1443" w:rsidRDefault="006C1443" w:rsidP="006C1443">
            <w:pPr>
              <w:spacing w:before="240" w:after="240" w:line="360" w:lineRule="auto"/>
              <w:jc w:val="center"/>
              <w:rPr>
                <w:rFonts w:ascii="Arial" w:eastAsia="Times New Roman" w:hAnsi="Arial" w:cs="Arial"/>
                <w:b/>
                <w:szCs w:val="22"/>
              </w:rPr>
            </w:pPr>
            <w:r w:rsidRPr="006C1443">
              <w:rPr>
                <w:rFonts w:ascii="Arial" w:eastAsia="Times New Roman" w:hAnsi="Arial" w:cs="Arial"/>
                <w:b/>
                <w:szCs w:val="22"/>
              </w:rPr>
              <w:t>Year</w:t>
            </w:r>
          </w:p>
        </w:tc>
        <w:tc>
          <w:tcPr>
            <w:tcW w:w="4050" w:type="dxa"/>
          </w:tcPr>
          <w:p w:rsidR="006C1443" w:rsidRPr="006C1443" w:rsidRDefault="006C1443" w:rsidP="006C1443">
            <w:pPr>
              <w:spacing w:before="240" w:after="240" w:line="360" w:lineRule="auto"/>
              <w:jc w:val="center"/>
              <w:rPr>
                <w:rFonts w:ascii="Arial" w:eastAsia="Times New Roman" w:hAnsi="Arial" w:cs="Arial"/>
                <w:b/>
                <w:szCs w:val="22"/>
              </w:rPr>
            </w:pPr>
            <w:r w:rsidRPr="006C1443">
              <w:rPr>
                <w:rFonts w:ascii="Arial" w:eastAsia="Times New Roman" w:hAnsi="Arial" w:cs="Arial"/>
                <w:b/>
                <w:szCs w:val="22"/>
              </w:rPr>
              <w:t>Amount</w:t>
            </w:r>
          </w:p>
        </w:tc>
      </w:tr>
      <w:tr w:rsidR="006C1443" w:rsidRPr="006C1443" w:rsidTr="00D24AFC">
        <w:tc>
          <w:tcPr>
            <w:tcW w:w="387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2015/16</w:t>
            </w:r>
          </w:p>
        </w:tc>
        <w:tc>
          <w:tcPr>
            <w:tcW w:w="405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R 315 136 800.80</w:t>
            </w:r>
          </w:p>
        </w:tc>
      </w:tr>
      <w:tr w:rsidR="006C1443" w:rsidRPr="006C1443" w:rsidTr="00D24AFC">
        <w:tc>
          <w:tcPr>
            <w:tcW w:w="387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2016/17</w:t>
            </w:r>
          </w:p>
        </w:tc>
        <w:tc>
          <w:tcPr>
            <w:tcW w:w="405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R 255 673 499.26</w:t>
            </w:r>
          </w:p>
        </w:tc>
      </w:tr>
      <w:tr w:rsidR="006C1443" w:rsidRPr="006C1443" w:rsidTr="00D24AFC">
        <w:tc>
          <w:tcPr>
            <w:tcW w:w="387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2017/18</w:t>
            </w:r>
          </w:p>
        </w:tc>
        <w:tc>
          <w:tcPr>
            <w:tcW w:w="4050" w:type="dxa"/>
          </w:tcPr>
          <w:p w:rsidR="006C1443" w:rsidRPr="006C1443" w:rsidRDefault="006C1443" w:rsidP="006C1443">
            <w:pPr>
              <w:spacing w:before="240" w:after="240" w:line="360" w:lineRule="auto"/>
              <w:jc w:val="center"/>
              <w:rPr>
                <w:rFonts w:ascii="Arial" w:eastAsia="Times New Roman" w:hAnsi="Arial" w:cs="Arial"/>
                <w:szCs w:val="22"/>
              </w:rPr>
            </w:pPr>
            <w:r w:rsidRPr="006C1443">
              <w:rPr>
                <w:rFonts w:ascii="Arial" w:eastAsia="Times New Roman" w:hAnsi="Arial" w:cs="Arial"/>
                <w:szCs w:val="22"/>
              </w:rPr>
              <w:t>R 236 761 241.45</w:t>
            </w:r>
          </w:p>
        </w:tc>
      </w:tr>
      <w:tr w:rsidR="006C1443" w:rsidRPr="006C1443" w:rsidTr="00D24AFC">
        <w:trPr>
          <w:trHeight w:val="413"/>
        </w:trPr>
        <w:tc>
          <w:tcPr>
            <w:tcW w:w="3870" w:type="dxa"/>
          </w:tcPr>
          <w:p w:rsidR="006C1443" w:rsidRPr="006C1443" w:rsidRDefault="006C1443" w:rsidP="006C1443">
            <w:pPr>
              <w:spacing w:before="240" w:after="240" w:line="360" w:lineRule="auto"/>
              <w:jc w:val="center"/>
              <w:rPr>
                <w:rFonts w:ascii="Arial" w:eastAsia="Times New Roman" w:hAnsi="Arial" w:cs="Arial"/>
                <w:b/>
                <w:szCs w:val="22"/>
              </w:rPr>
            </w:pPr>
            <w:r w:rsidRPr="006C1443">
              <w:rPr>
                <w:rFonts w:ascii="Arial" w:eastAsia="Times New Roman" w:hAnsi="Arial" w:cs="Arial"/>
                <w:b/>
                <w:szCs w:val="22"/>
              </w:rPr>
              <w:t>Total</w:t>
            </w:r>
          </w:p>
        </w:tc>
        <w:tc>
          <w:tcPr>
            <w:tcW w:w="4050" w:type="dxa"/>
          </w:tcPr>
          <w:p w:rsidR="006C1443" w:rsidRPr="006C1443" w:rsidRDefault="006C1443" w:rsidP="006C1443">
            <w:pPr>
              <w:spacing w:before="240" w:after="240" w:line="360" w:lineRule="auto"/>
              <w:jc w:val="center"/>
              <w:rPr>
                <w:rFonts w:ascii="Arial" w:eastAsia="Times New Roman" w:hAnsi="Arial" w:cs="Arial"/>
                <w:b/>
                <w:szCs w:val="22"/>
              </w:rPr>
            </w:pPr>
            <w:r w:rsidRPr="006C1443">
              <w:rPr>
                <w:rFonts w:ascii="Arial" w:eastAsia="Times New Roman" w:hAnsi="Arial" w:cs="Arial"/>
                <w:b/>
                <w:szCs w:val="22"/>
              </w:rPr>
              <w:t>R 807 571 541.51</w:t>
            </w:r>
          </w:p>
        </w:tc>
      </w:tr>
    </w:tbl>
    <w:p w:rsidR="006C1443" w:rsidRPr="006C1443" w:rsidRDefault="006C1443" w:rsidP="006C1443">
      <w:pPr>
        <w:spacing w:before="240" w:after="240" w:line="360" w:lineRule="auto"/>
        <w:ind w:left="720" w:hanging="720"/>
        <w:jc w:val="both"/>
        <w:rPr>
          <w:rFonts w:ascii="Arial" w:hAnsi="Arial" w:cs="Arial"/>
        </w:rPr>
      </w:pPr>
      <w:r w:rsidRPr="006C1443">
        <w:rPr>
          <w:rFonts w:ascii="Arial" w:hAnsi="Arial" w:cs="Arial"/>
        </w:rPr>
        <w:t xml:space="preserve">(3) </w:t>
      </w:r>
      <w:r w:rsidRPr="006C1443">
        <w:rPr>
          <w:rFonts w:ascii="Arial" w:hAnsi="Arial" w:cs="Arial"/>
        </w:rPr>
        <w:tab/>
        <w:t xml:space="preserve">Based on information obtained from CETA and the National Artisan Moderation Body, CETA has trained a total of 25 362 artisans to the point of qualification. </w:t>
      </w:r>
    </w:p>
    <w:p w:rsidR="006C1443" w:rsidRPr="006C1443" w:rsidRDefault="006C1443" w:rsidP="006C1443">
      <w:pPr>
        <w:spacing w:before="240" w:after="240" w:line="360" w:lineRule="auto"/>
        <w:ind w:left="720" w:hanging="720"/>
        <w:jc w:val="both"/>
        <w:rPr>
          <w:rFonts w:ascii="Arial" w:hAnsi="Arial" w:cs="Arial"/>
        </w:rPr>
      </w:pPr>
      <w:r w:rsidRPr="006C1443">
        <w:rPr>
          <w:rFonts w:ascii="Arial" w:hAnsi="Arial" w:cs="Arial"/>
        </w:rPr>
        <w:t>(4)</w:t>
      </w:r>
      <w:r w:rsidRPr="006C1443">
        <w:rPr>
          <w:rFonts w:ascii="Arial" w:hAnsi="Arial" w:cs="Arial"/>
        </w:rPr>
        <w:tab/>
        <w:t>No instances of corruption have been uncovered to date. The independent investigation commissioned is currently under way looking into the allegations of corruption and financial mismanagement.</w:t>
      </w:r>
    </w:p>
    <w:p w:rsidR="00305F40" w:rsidRPr="00305F40" w:rsidRDefault="00305F40" w:rsidP="00305F40">
      <w:pPr>
        <w:spacing w:before="240" w:after="240" w:line="360" w:lineRule="auto"/>
        <w:jc w:val="both"/>
        <w:rPr>
          <w:rFonts w:ascii="Arial" w:hAnsi="Arial" w:cs="Arial"/>
          <w:b/>
        </w:rPr>
      </w:pPr>
    </w:p>
    <w:p w:rsidR="00170099" w:rsidRPr="00B3399B" w:rsidRDefault="00170099" w:rsidP="00DA2D5E">
      <w:pPr>
        <w:spacing w:before="240" w:line="360" w:lineRule="auto"/>
        <w:jc w:val="both"/>
        <w:rPr>
          <w:rFonts w:ascii="Arial" w:hAnsi="Arial" w:cs="Arial"/>
          <w:lang w:val="en-US"/>
        </w:rPr>
      </w:pPr>
    </w:p>
    <w:sectPr w:rsidR="00170099" w:rsidRPr="00B3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E87EF5"/>
    <w:multiLevelType w:val="hybridMultilevel"/>
    <w:tmpl w:val="0A74804E"/>
    <w:lvl w:ilvl="0" w:tplc="D288346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45E5D"/>
    <w:multiLevelType w:val="hybridMultilevel"/>
    <w:tmpl w:val="955A08E4"/>
    <w:lvl w:ilvl="0" w:tplc="9D8C9384">
      <w:start w:val="2"/>
      <w:numFmt w:val="decimal"/>
      <w:lvlText w:val="%1."/>
      <w:lvlJc w:val="left"/>
      <w:pPr>
        <w:ind w:left="12366" w:hanging="360"/>
      </w:pPr>
    </w:lvl>
    <w:lvl w:ilvl="1" w:tplc="1C090019">
      <w:start w:val="1"/>
      <w:numFmt w:val="lowerLetter"/>
      <w:lvlText w:val="%2."/>
      <w:lvlJc w:val="left"/>
      <w:pPr>
        <w:ind w:left="13086" w:hanging="360"/>
      </w:pPr>
    </w:lvl>
    <w:lvl w:ilvl="2" w:tplc="1C09001B">
      <w:start w:val="1"/>
      <w:numFmt w:val="lowerRoman"/>
      <w:lvlText w:val="%3."/>
      <w:lvlJc w:val="right"/>
      <w:pPr>
        <w:ind w:left="13806" w:hanging="180"/>
      </w:pPr>
    </w:lvl>
    <w:lvl w:ilvl="3" w:tplc="1C09000F">
      <w:start w:val="1"/>
      <w:numFmt w:val="decimal"/>
      <w:lvlText w:val="%4."/>
      <w:lvlJc w:val="left"/>
      <w:pPr>
        <w:ind w:left="14526" w:hanging="360"/>
      </w:pPr>
    </w:lvl>
    <w:lvl w:ilvl="4" w:tplc="1C090019">
      <w:start w:val="1"/>
      <w:numFmt w:val="lowerLetter"/>
      <w:lvlText w:val="%5."/>
      <w:lvlJc w:val="left"/>
      <w:pPr>
        <w:ind w:left="15246" w:hanging="360"/>
      </w:pPr>
    </w:lvl>
    <w:lvl w:ilvl="5" w:tplc="1C09001B">
      <w:start w:val="1"/>
      <w:numFmt w:val="lowerRoman"/>
      <w:lvlText w:val="%6."/>
      <w:lvlJc w:val="right"/>
      <w:pPr>
        <w:ind w:left="15966" w:hanging="180"/>
      </w:pPr>
    </w:lvl>
    <w:lvl w:ilvl="6" w:tplc="1C09000F">
      <w:start w:val="1"/>
      <w:numFmt w:val="decimal"/>
      <w:lvlText w:val="%7."/>
      <w:lvlJc w:val="left"/>
      <w:pPr>
        <w:ind w:left="16686" w:hanging="360"/>
      </w:pPr>
    </w:lvl>
    <w:lvl w:ilvl="7" w:tplc="1C090019">
      <w:start w:val="1"/>
      <w:numFmt w:val="lowerLetter"/>
      <w:lvlText w:val="%8."/>
      <w:lvlJc w:val="left"/>
      <w:pPr>
        <w:ind w:left="17406" w:hanging="360"/>
      </w:pPr>
    </w:lvl>
    <w:lvl w:ilvl="8" w:tplc="1C09001B">
      <w:start w:val="1"/>
      <w:numFmt w:val="lowerRoman"/>
      <w:lvlText w:val="%9."/>
      <w:lvlJc w:val="right"/>
      <w:pPr>
        <w:ind w:left="18126"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C606D9"/>
    <w:multiLevelType w:val="hybridMultilevel"/>
    <w:tmpl w:val="BE52C14A"/>
    <w:lvl w:ilvl="0" w:tplc="2528C8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AE7"/>
    <w:multiLevelType w:val="hybridMultilevel"/>
    <w:tmpl w:val="79A41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15:restartNumberingAfterBreak="0">
    <w:nsid w:val="59566EEE"/>
    <w:multiLevelType w:val="hybridMultilevel"/>
    <w:tmpl w:val="9B64E612"/>
    <w:lvl w:ilvl="0" w:tplc="369A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EF686B"/>
    <w:multiLevelType w:val="hybridMultilevel"/>
    <w:tmpl w:val="B8FAD3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4D06A8"/>
    <w:multiLevelType w:val="hybridMultilevel"/>
    <w:tmpl w:val="3382719C"/>
    <w:lvl w:ilvl="0" w:tplc="E160DA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8"/>
  </w:num>
  <w:num w:numId="4">
    <w:abstractNumId w:val="36"/>
  </w:num>
  <w:num w:numId="5">
    <w:abstractNumId w:val="3"/>
  </w:num>
  <w:num w:numId="6">
    <w:abstractNumId w:val="44"/>
  </w:num>
  <w:num w:numId="7">
    <w:abstractNumId w:val="30"/>
  </w:num>
  <w:num w:numId="8">
    <w:abstractNumId w:val="41"/>
  </w:num>
  <w:num w:numId="9">
    <w:abstractNumId w:val="28"/>
  </w:num>
  <w:num w:numId="10">
    <w:abstractNumId w:val="43"/>
  </w:num>
  <w:num w:numId="11">
    <w:abstractNumId w:val="14"/>
  </w:num>
  <w:num w:numId="12">
    <w:abstractNumId w:val="18"/>
  </w:num>
  <w:num w:numId="13">
    <w:abstractNumId w:val="2"/>
  </w:num>
  <w:num w:numId="14">
    <w:abstractNumId w:val="25"/>
  </w:num>
  <w:num w:numId="15">
    <w:abstractNumId w:val="40"/>
  </w:num>
  <w:num w:numId="16">
    <w:abstractNumId w:val="7"/>
  </w:num>
  <w:num w:numId="17">
    <w:abstractNumId w:val="46"/>
  </w:num>
  <w:num w:numId="18">
    <w:abstractNumId w:val="39"/>
  </w:num>
  <w:num w:numId="19">
    <w:abstractNumId w:val="47"/>
  </w:num>
  <w:num w:numId="20">
    <w:abstractNumId w:val="10"/>
  </w:num>
  <w:num w:numId="21">
    <w:abstractNumId w:val="23"/>
  </w:num>
  <w:num w:numId="22">
    <w:abstractNumId w:val="12"/>
  </w:num>
  <w:num w:numId="23">
    <w:abstractNumId w:val="17"/>
  </w:num>
  <w:num w:numId="24">
    <w:abstractNumId w:val="26"/>
  </w:num>
  <w:num w:numId="25">
    <w:abstractNumId w:val="32"/>
  </w:num>
  <w:num w:numId="26">
    <w:abstractNumId w:val="45"/>
  </w:num>
  <w:num w:numId="27">
    <w:abstractNumId w:val="24"/>
  </w:num>
  <w:num w:numId="28">
    <w:abstractNumId w:val="5"/>
  </w:num>
  <w:num w:numId="29">
    <w:abstractNumId w:val="38"/>
  </w:num>
  <w:num w:numId="30">
    <w:abstractNumId w:val="42"/>
  </w:num>
  <w:num w:numId="31">
    <w:abstractNumId w:val="33"/>
  </w:num>
  <w:num w:numId="32">
    <w:abstractNumId w:val="6"/>
  </w:num>
  <w:num w:numId="33">
    <w:abstractNumId w:val="8"/>
  </w:num>
  <w:num w:numId="34">
    <w:abstractNumId w:val="13"/>
  </w:num>
  <w:num w:numId="35">
    <w:abstractNumId w:val="9"/>
  </w:num>
  <w:num w:numId="36">
    <w:abstractNumId w:val="20"/>
  </w:num>
  <w:num w:numId="37">
    <w:abstractNumId w:val="35"/>
  </w:num>
  <w:num w:numId="38">
    <w:abstractNumId w:val="27"/>
  </w:num>
  <w:num w:numId="39">
    <w:abstractNumId w:val="19"/>
  </w:num>
  <w:num w:numId="40">
    <w:abstractNumId w:val="22"/>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34"/>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170099"/>
    <w:rsid w:val="00174676"/>
    <w:rsid w:val="001C75E4"/>
    <w:rsid w:val="002922B1"/>
    <w:rsid w:val="00304AAF"/>
    <w:rsid w:val="00305F40"/>
    <w:rsid w:val="00307491"/>
    <w:rsid w:val="00333979"/>
    <w:rsid w:val="003A384E"/>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D412B6"/>
    <w:rsid w:val="00D73705"/>
    <w:rsid w:val="00DA2D5E"/>
    <w:rsid w:val="00DE221F"/>
    <w:rsid w:val="00DE51AD"/>
    <w:rsid w:val="00E35CA2"/>
    <w:rsid w:val="00E92898"/>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2020-06-24T19:46:00Z</dcterms:created>
  <dcterms:modified xsi:type="dcterms:W3CDTF">2020-06-24T19:46:00Z</dcterms:modified>
</cp:coreProperties>
</file>