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2D6769" w:rsidP="007E7A7D">
      <w:pPr>
        <w:spacing w:before="100" w:beforeAutospacing="1" w:after="100" w:afterAutospacing="1"/>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Default="00CB3451" w:rsidP="00C33C12">
      <w:pPr>
        <w:spacing w:line="360" w:lineRule="auto"/>
        <w:jc w:val="center"/>
        <w:rPr>
          <w:rFonts w:ascii="Arial" w:hAnsi="Arial" w:cs="Arial"/>
          <w:sz w:val="16"/>
          <w:szCs w:val="16"/>
        </w:rPr>
      </w:pPr>
    </w:p>
    <w:p w:rsidR="00E21590" w:rsidRDefault="00E21590" w:rsidP="00C33C12">
      <w:pPr>
        <w:spacing w:line="360" w:lineRule="auto"/>
        <w:jc w:val="center"/>
        <w:rPr>
          <w:rFonts w:ascii="Arial" w:hAnsi="Arial" w:cs="Arial"/>
          <w:b/>
          <w:bCs/>
          <w:color w:val="000000"/>
          <w:sz w:val="20"/>
          <w:szCs w:val="20"/>
          <w:lang w:val="en-GB"/>
        </w:rPr>
      </w:pPr>
    </w:p>
    <w:p w:rsidR="00F916D5" w:rsidRPr="00E21590" w:rsidRDefault="00F916D5" w:rsidP="00C33C12">
      <w:pPr>
        <w:spacing w:line="360" w:lineRule="auto"/>
        <w:jc w:val="center"/>
        <w:rPr>
          <w:rFonts w:ascii="Arial" w:hAnsi="Arial" w:cs="Arial"/>
          <w:b/>
          <w:bCs/>
          <w:color w:val="000000"/>
          <w:sz w:val="20"/>
          <w:szCs w:val="20"/>
          <w:lang w:val="en-GB"/>
        </w:rPr>
      </w:pPr>
      <w:r w:rsidRPr="00E21590">
        <w:rPr>
          <w:rFonts w:ascii="Arial" w:hAnsi="Arial" w:cs="Arial"/>
          <w:b/>
          <w:bCs/>
          <w:color w:val="000000"/>
          <w:sz w:val="20"/>
          <w:szCs w:val="20"/>
          <w:lang w:val="en-GB"/>
        </w:rPr>
        <w:t>NATIONAL ASSEMBLY</w:t>
      </w:r>
    </w:p>
    <w:p w:rsidR="00F916D5" w:rsidRPr="00E21590" w:rsidRDefault="00B70F7D" w:rsidP="00C33C12">
      <w:pPr>
        <w:spacing w:line="360" w:lineRule="auto"/>
        <w:ind w:left="540" w:hanging="540"/>
        <w:jc w:val="center"/>
        <w:rPr>
          <w:rFonts w:ascii="Arial" w:hAnsi="Arial" w:cs="Arial"/>
          <w:b/>
          <w:bCs/>
          <w:color w:val="000000"/>
          <w:sz w:val="20"/>
          <w:szCs w:val="20"/>
          <w:lang w:val="en-GB"/>
        </w:rPr>
      </w:pPr>
      <w:r>
        <w:rPr>
          <w:rFonts w:ascii="Arial" w:hAnsi="Arial" w:cs="Arial"/>
          <w:b/>
          <w:bCs/>
          <w:color w:val="000000"/>
          <w:sz w:val="20"/>
          <w:szCs w:val="20"/>
          <w:lang w:val="en-GB"/>
        </w:rPr>
        <w:t>QUESTION FOR WRITTEN</w:t>
      </w:r>
      <w:r w:rsidR="00F916D5" w:rsidRPr="00E21590">
        <w:rPr>
          <w:rFonts w:ascii="Arial" w:hAnsi="Arial" w:cs="Arial"/>
          <w:b/>
          <w:bCs/>
          <w:color w:val="000000"/>
          <w:sz w:val="20"/>
          <w:szCs w:val="20"/>
          <w:lang w:val="en-GB"/>
        </w:rPr>
        <w:t xml:space="preserve"> REPLY</w:t>
      </w:r>
    </w:p>
    <w:p w:rsidR="00F916D5" w:rsidRDefault="00F916D5" w:rsidP="00C33C12">
      <w:pPr>
        <w:spacing w:line="360" w:lineRule="auto"/>
        <w:jc w:val="center"/>
        <w:rPr>
          <w:rFonts w:ascii="Arial" w:hAnsi="Arial" w:cs="Arial"/>
          <w:b/>
          <w:bCs/>
          <w:sz w:val="20"/>
          <w:szCs w:val="20"/>
          <w:lang w:val="en-GB"/>
        </w:rPr>
      </w:pPr>
      <w:r w:rsidRPr="00E21590">
        <w:rPr>
          <w:rFonts w:ascii="Arial" w:hAnsi="Arial" w:cs="Arial"/>
          <w:b/>
          <w:bCs/>
          <w:sz w:val="20"/>
          <w:szCs w:val="20"/>
          <w:lang w:val="en-GB"/>
        </w:rPr>
        <w:t xml:space="preserve">QUESTION NUMBER </w:t>
      </w:r>
      <w:r w:rsidR="00A7633A">
        <w:rPr>
          <w:rFonts w:ascii="Arial" w:hAnsi="Arial" w:cs="Arial"/>
          <w:b/>
          <w:bCs/>
          <w:sz w:val="20"/>
          <w:szCs w:val="20"/>
          <w:lang w:val="en-GB"/>
        </w:rPr>
        <w:t>1201</w:t>
      </w:r>
    </w:p>
    <w:p w:rsidR="001A7BC8" w:rsidRPr="00F76321" w:rsidRDefault="001A7BC8" w:rsidP="001A7BC8">
      <w:pPr>
        <w:spacing w:line="360" w:lineRule="auto"/>
        <w:jc w:val="center"/>
        <w:rPr>
          <w:rFonts w:ascii="Arial" w:hAnsi="Arial" w:cs="Arial"/>
          <w:b/>
          <w:bCs/>
          <w:sz w:val="20"/>
          <w:szCs w:val="20"/>
        </w:rPr>
      </w:pPr>
      <w:r w:rsidRPr="00F76321">
        <w:rPr>
          <w:rFonts w:ascii="Arial" w:hAnsi="Arial" w:cs="Arial"/>
          <w:b/>
          <w:bCs/>
          <w:sz w:val="20"/>
          <w:szCs w:val="20"/>
        </w:rPr>
        <w:t xml:space="preserve">DATE OF PUBLICATION: </w:t>
      </w:r>
      <w:r w:rsidR="00A7633A">
        <w:rPr>
          <w:rFonts w:ascii="Arial" w:hAnsi="Arial" w:cs="Arial"/>
          <w:b/>
          <w:bCs/>
          <w:sz w:val="20"/>
          <w:szCs w:val="20"/>
        </w:rPr>
        <w:t>18 OCTOBER 2019</w:t>
      </w:r>
    </w:p>
    <w:p w:rsidR="001A7BC8" w:rsidRPr="00E21590" w:rsidRDefault="001A7BC8" w:rsidP="00C33C12">
      <w:pPr>
        <w:spacing w:line="360" w:lineRule="auto"/>
        <w:jc w:val="center"/>
        <w:rPr>
          <w:rFonts w:ascii="Arial" w:hAnsi="Arial" w:cs="Arial"/>
          <w:b/>
          <w:bCs/>
          <w:sz w:val="20"/>
          <w:szCs w:val="20"/>
          <w:lang w:val="en-GB"/>
        </w:rPr>
      </w:pPr>
    </w:p>
    <w:p w:rsidR="00A7633A" w:rsidRPr="00A7633A" w:rsidRDefault="00A7633A" w:rsidP="00A7633A">
      <w:pPr>
        <w:spacing w:before="100" w:beforeAutospacing="1" w:after="100" w:afterAutospacing="1"/>
        <w:ind w:left="720" w:hanging="720"/>
        <w:jc w:val="both"/>
        <w:outlineLvl w:val="0"/>
        <w:rPr>
          <w:rFonts w:eastAsia="Calibri"/>
          <w:b/>
          <w:noProof/>
          <w:lang w:val="af-ZA"/>
        </w:rPr>
      </w:pPr>
      <w:r w:rsidRPr="00A7633A">
        <w:rPr>
          <w:rFonts w:eastAsia="Calibri"/>
          <w:b/>
          <w:noProof/>
          <w:lang w:val="af-ZA"/>
        </w:rPr>
        <w:t>1201.</w:t>
      </w:r>
      <w:r w:rsidRPr="00A7633A">
        <w:rPr>
          <w:rFonts w:eastAsia="Calibri"/>
          <w:b/>
          <w:noProof/>
          <w:lang w:val="af-ZA"/>
        </w:rPr>
        <w:tab/>
        <w:t>Mrs A Steyn (DA) to ask the Minister of Cooperative Governance and Traditional Affairs</w:t>
      </w:r>
      <w:r w:rsidRPr="00A7633A">
        <w:rPr>
          <w:rFonts w:eastAsia="Calibri"/>
          <w:b/>
          <w:noProof/>
          <w:lang w:val="af-ZA"/>
        </w:rPr>
        <w:fldChar w:fldCharType="begin"/>
      </w:r>
      <w:r w:rsidRPr="00A7633A">
        <w:rPr>
          <w:rFonts w:ascii="Calibri" w:eastAsia="Calibri" w:hAnsi="Calibri"/>
          <w:sz w:val="22"/>
          <w:szCs w:val="22"/>
          <w:lang w:val="en-ZA"/>
        </w:rPr>
        <w:instrText xml:space="preserve"> XE "</w:instrText>
      </w:r>
      <w:r w:rsidRPr="00A7633A">
        <w:rPr>
          <w:rFonts w:eastAsia="Calibri"/>
          <w:b/>
          <w:noProof/>
          <w:lang w:val="af-ZA"/>
        </w:rPr>
        <w:instrText>Cooperative Governance and Traditional Affairs</w:instrText>
      </w:r>
      <w:r w:rsidRPr="00A7633A">
        <w:rPr>
          <w:rFonts w:ascii="Calibri" w:eastAsia="Calibri" w:hAnsi="Calibri"/>
          <w:sz w:val="22"/>
          <w:szCs w:val="22"/>
          <w:lang w:val="en-ZA"/>
        </w:rPr>
        <w:instrText xml:space="preserve">" </w:instrText>
      </w:r>
      <w:r w:rsidRPr="00A7633A">
        <w:rPr>
          <w:rFonts w:eastAsia="Calibri"/>
          <w:b/>
          <w:noProof/>
          <w:lang w:val="af-ZA"/>
        </w:rPr>
        <w:fldChar w:fldCharType="end"/>
      </w:r>
      <w:r w:rsidRPr="00A7633A">
        <w:rPr>
          <w:rFonts w:eastAsia="Calibri"/>
          <w:b/>
          <w:noProof/>
          <w:lang w:val="af-ZA"/>
        </w:rPr>
        <w:t>:</w:t>
      </w:r>
    </w:p>
    <w:p w:rsidR="00A7633A" w:rsidRDefault="00A7633A" w:rsidP="008517F7">
      <w:pPr>
        <w:spacing w:line="360" w:lineRule="auto"/>
        <w:ind w:left="709" w:hanging="709"/>
        <w:jc w:val="both"/>
        <w:rPr>
          <w:rFonts w:ascii="Arial" w:eastAsia="Calibri" w:hAnsi="Arial" w:cs="Arial"/>
          <w:lang w:val="en-ZA"/>
        </w:rPr>
      </w:pPr>
      <w:r w:rsidRPr="00A7633A">
        <w:rPr>
          <w:rFonts w:eastAsia="Calibri"/>
          <w:lang w:val="en-ZA"/>
        </w:rPr>
        <w:t>(1)</w:t>
      </w:r>
      <w:r w:rsidRPr="00A7633A">
        <w:rPr>
          <w:rFonts w:eastAsia="Calibri"/>
          <w:lang w:val="en-ZA"/>
        </w:rPr>
        <w:tab/>
      </w:r>
      <w:r w:rsidRPr="008517F7">
        <w:rPr>
          <w:rFonts w:ascii="Arial" w:eastAsia="Calibri" w:hAnsi="Arial" w:cs="Arial"/>
          <w:lang w:val="en-ZA"/>
        </w:rPr>
        <w:t>On which statutory grounds does each province rely to give effect to section 4(2)(b) of the Traditional Leadership and Governance Framework Act, Act 41 of 2003, which requires that provincial legislation must regulate the performance of functions by a traditional council by requiring the auditing of its financial statements;</w:t>
      </w:r>
    </w:p>
    <w:p w:rsidR="008E36F4" w:rsidRPr="008517F7" w:rsidRDefault="008E36F4" w:rsidP="008517F7">
      <w:pPr>
        <w:spacing w:line="360" w:lineRule="auto"/>
        <w:ind w:left="709" w:hanging="709"/>
        <w:jc w:val="both"/>
        <w:rPr>
          <w:rFonts w:ascii="Arial" w:eastAsia="Calibri" w:hAnsi="Arial" w:cs="Arial"/>
          <w:lang w:val="en-ZA"/>
        </w:rPr>
      </w:pPr>
    </w:p>
    <w:p w:rsidR="00A7633A" w:rsidRDefault="00A7633A" w:rsidP="008517F7">
      <w:pPr>
        <w:spacing w:line="360" w:lineRule="auto"/>
        <w:ind w:left="709" w:hanging="709"/>
        <w:jc w:val="both"/>
        <w:rPr>
          <w:rFonts w:ascii="Arial" w:eastAsia="Calibri" w:hAnsi="Arial" w:cs="Arial"/>
          <w:lang w:val="en-ZA"/>
        </w:rPr>
      </w:pPr>
      <w:r w:rsidRPr="008517F7">
        <w:rPr>
          <w:rFonts w:ascii="Arial" w:eastAsia="Calibri" w:hAnsi="Arial" w:cs="Arial"/>
          <w:lang w:val="en-ZA"/>
        </w:rPr>
        <w:t>(2)</w:t>
      </w:r>
      <w:r w:rsidRPr="008517F7">
        <w:rPr>
          <w:rFonts w:ascii="Arial" w:eastAsia="Calibri" w:hAnsi="Arial" w:cs="Arial"/>
          <w:lang w:val="en-ZA"/>
        </w:rPr>
        <w:tab/>
        <w:t xml:space="preserve">whether any mechanisms have been put in place by her department to monitor the implementation of </w:t>
      </w:r>
      <w:r w:rsidRPr="00A7633A">
        <w:rPr>
          <w:rFonts w:ascii="Arial" w:eastAsia="Calibri" w:hAnsi="Arial" w:cs="Arial"/>
          <w:lang w:val="en-ZA"/>
        </w:rPr>
        <w:t>the</w:t>
      </w:r>
      <w:r w:rsidRPr="008517F7">
        <w:rPr>
          <w:rFonts w:ascii="Arial" w:eastAsia="Calibri" w:hAnsi="Arial" w:cs="Arial"/>
          <w:lang w:val="en-ZA"/>
        </w:rPr>
        <w:t xml:space="preserve"> requirement that traditional councils’ financial statements need to be audited; if not, why not; if so, what are the relevant details;</w:t>
      </w:r>
    </w:p>
    <w:p w:rsidR="008E36F4" w:rsidRPr="008517F7" w:rsidRDefault="008E36F4" w:rsidP="008517F7">
      <w:pPr>
        <w:spacing w:line="360" w:lineRule="auto"/>
        <w:ind w:left="709" w:hanging="709"/>
        <w:jc w:val="both"/>
        <w:rPr>
          <w:rFonts w:ascii="Arial" w:eastAsia="Calibri" w:hAnsi="Arial" w:cs="Arial"/>
          <w:lang w:val="en-ZA"/>
        </w:rPr>
      </w:pPr>
    </w:p>
    <w:p w:rsidR="00A7633A" w:rsidRPr="008517F7" w:rsidRDefault="00A7633A" w:rsidP="008517F7">
      <w:pPr>
        <w:spacing w:line="360" w:lineRule="auto"/>
        <w:ind w:left="709" w:hanging="709"/>
        <w:jc w:val="both"/>
        <w:rPr>
          <w:rFonts w:ascii="Arial" w:eastAsia="Calibri" w:hAnsi="Arial" w:cs="Arial"/>
          <w:lang w:val="en-ZA"/>
        </w:rPr>
      </w:pPr>
      <w:r w:rsidRPr="008517F7">
        <w:rPr>
          <w:rFonts w:ascii="Arial" w:eastAsia="Calibri" w:hAnsi="Arial" w:cs="Arial"/>
          <w:lang w:val="en-ZA"/>
        </w:rPr>
        <w:t>(3)</w:t>
      </w:r>
      <w:r w:rsidRPr="008517F7">
        <w:rPr>
          <w:rFonts w:ascii="Arial" w:eastAsia="Calibri" w:hAnsi="Arial" w:cs="Arial"/>
          <w:lang w:val="en-ZA"/>
        </w:rPr>
        <w:tab/>
        <w:t xml:space="preserve">what steps has her </w:t>
      </w:r>
      <w:r w:rsidRPr="00A7633A">
        <w:rPr>
          <w:rFonts w:ascii="Arial" w:eastAsia="Calibri" w:hAnsi="Arial" w:cs="Arial"/>
          <w:lang w:val="en-ZA"/>
        </w:rPr>
        <w:t>department</w:t>
      </w:r>
      <w:r w:rsidRPr="008517F7">
        <w:rPr>
          <w:rFonts w:ascii="Arial" w:eastAsia="Calibri" w:hAnsi="Arial" w:cs="Arial"/>
          <w:lang w:val="en-ZA"/>
        </w:rPr>
        <w:t xml:space="preserve"> taken to ensure compliance with the requirement that traditional council financial statements be audited</w:t>
      </w:r>
      <w:r w:rsidRPr="00A7633A">
        <w:rPr>
          <w:rFonts w:ascii="Arial" w:eastAsia="Calibri" w:hAnsi="Arial" w:cs="Arial"/>
          <w:lang w:val="en-ZA"/>
        </w:rPr>
        <w:t>?</w:t>
      </w:r>
      <w:r w:rsidR="008517F7" w:rsidRPr="008517F7">
        <w:rPr>
          <w:rFonts w:ascii="Arial" w:eastAsia="Calibri" w:hAnsi="Arial" w:cs="Arial"/>
          <w:noProof/>
          <w:lang w:val="af-ZA"/>
        </w:rPr>
        <w:tab/>
      </w:r>
      <w:r w:rsidRPr="008517F7">
        <w:rPr>
          <w:rFonts w:ascii="Arial" w:eastAsia="Calibri" w:hAnsi="Arial" w:cs="Arial"/>
          <w:noProof/>
          <w:lang w:val="af-ZA"/>
        </w:rPr>
        <w:t>NW2411E</w:t>
      </w:r>
    </w:p>
    <w:p w:rsidR="0067311A" w:rsidRPr="00C269E4" w:rsidRDefault="0067311A" w:rsidP="00EB7323">
      <w:pPr>
        <w:spacing w:before="100" w:beforeAutospacing="1" w:after="100" w:afterAutospacing="1"/>
        <w:ind w:left="1440" w:hanging="629"/>
        <w:jc w:val="both"/>
        <w:rPr>
          <w:noProof/>
          <w:lang w:val="af-ZA"/>
        </w:rPr>
      </w:pPr>
    </w:p>
    <w:p w:rsidR="00EB7323" w:rsidRDefault="00EB7323" w:rsidP="00EB7323">
      <w:pPr>
        <w:spacing w:before="100" w:beforeAutospacing="1" w:after="100" w:afterAutospacing="1"/>
        <w:ind w:left="1440" w:hanging="629"/>
        <w:jc w:val="both"/>
        <w:rPr>
          <w:b/>
          <w:noProof/>
          <w:lang w:val="af-ZA"/>
        </w:rPr>
      </w:pPr>
    </w:p>
    <w:p w:rsidR="00A7633A" w:rsidRDefault="00A7633A" w:rsidP="00EB7323">
      <w:pPr>
        <w:spacing w:before="100" w:beforeAutospacing="1" w:after="100" w:afterAutospacing="1"/>
        <w:ind w:left="1440" w:hanging="629"/>
        <w:jc w:val="both"/>
        <w:rPr>
          <w:b/>
          <w:noProof/>
          <w:lang w:val="af-ZA"/>
        </w:rPr>
      </w:pPr>
    </w:p>
    <w:p w:rsidR="00A7633A" w:rsidRDefault="00A7633A" w:rsidP="00EB7323">
      <w:pPr>
        <w:spacing w:before="100" w:beforeAutospacing="1" w:after="100" w:afterAutospacing="1"/>
        <w:ind w:left="1440" w:hanging="629"/>
        <w:jc w:val="both"/>
        <w:rPr>
          <w:b/>
          <w:noProof/>
          <w:lang w:val="af-ZA"/>
        </w:rPr>
      </w:pPr>
    </w:p>
    <w:p w:rsidR="00A7633A" w:rsidRDefault="00A7633A" w:rsidP="00EB7323">
      <w:pPr>
        <w:spacing w:before="100" w:beforeAutospacing="1" w:after="100" w:afterAutospacing="1"/>
        <w:ind w:left="1440" w:hanging="629"/>
        <w:jc w:val="both"/>
        <w:rPr>
          <w:b/>
          <w:noProof/>
          <w:lang w:val="af-ZA"/>
        </w:rPr>
      </w:pPr>
    </w:p>
    <w:p w:rsidR="00EB7323" w:rsidRPr="00C269E4" w:rsidRDefault="00EB7323" w:rsidP="00393A96">
      <w:pPr>
        <w:spacing w:before="100" w:beforeAutospacing="1" w:after="100" w:afterAutospacing="1"/>
        <w:ind w:left="1440" w:hanging="731"/>
        <w:jc w:val="both"/>
        <w:rPr>
          <w:noProof/>
          <w:lang w:val="af-ZA"/>
        </w:rPr>
      </w:pPr>
    </w:p>
    <w:p w:rsidR="00393A96" w:rsidRDefault="00393A96" w:rsidP="0067311A">
      <w:pPr>
        <w:spacing w:line="360" w:lineRule="auto"/>
        <w:ind w:left="720"/>
        <w:jc w:val="both"/>
        <w:rPr>
          <w:rFonts w:eastAsia="Calibri"/>
          <w:lang w:val="en-ZA"/>
        </w:rPr>
      </w:pPr>
    </w:p>
    <w:p w:rsidR="00393A96" w:rsidRPr="00B726EE" w:rsidRDefault="00393A96" w:rsidP="0067311A">
      <w:pPr>
        <w:spacing w:line="360" w:lineRule="auto"/>
        <w:ind w:left="720"/>
        <w:jc w:val="both"/>
        <w:rPr>
          <w:rFonts w:ascii="Arial" w:eastAsia="Calibri" w:hAnsi="Arial" w:cs="Arial"/>
          <w:b/>
          <w:lang w:val="en-ZA"/>
        </w:rPr>
      </w:pPr>
      <w:r w:rsidRPr="00B726EE">
        <w:rPr>
          <w:rFonts w:ascii="Arial" w:eastAsia="Calibri" w:hAnsi="Arial" w:cs="Arial"/>
          <w:b/>
          <w:lang w:val="en-ZA"/>
        </w:rPr>
        <w:t>Reply:</w:t>
      </w:r>
    </w:p>
    <w:p w:rsidR="00393A96" w:rsidRPr="00393A96" w:rsidRDefault="00393A96" w:rsidP="0067311A">
      <w:pPr>
        <w:spacing w:line="360" w:lineRule="auto"/>
        <w:ind w:left="720"/>
        <w:jc w:val="both"/>
        <w:rPr>
          <w:rFonts w:eastAsia="Calibri"/>
          <w:b/>
          <w:lang w:val="en-ZA"/>
        </w:rPr>
      </w:pPr>
    </w:p>
    <w:p w:rsidR="00393A96" w:rsidRDefault="005536E6" w:rsidP="005536E6">
      <w:pPr>
        <w:spacing w:line="360" w:lineRule="auto"/>
        <w:ind w:left="1134" w:hanging="414"/>
        <w:jc w:val="both"/>
        <w:rPr>
          <w:rFonts w:ascii="Arial" w:hAnsi="Arial" w:cs="Arial"/>
        </w:rPr>
      </w:pPr>
      <w:r>
        <w:rPr>
          <w:rFonts w:ascii="Arial" w:hAnsi="Arial" w:cs="Arial"/>
        </w:rPr>
        <w:t>(1)</w:t>
      </w:r>
      <w:r w:rsidR="00BB2846">
        <w:rPr>
          <w:rFonts w:ascii="Arial" w:hAnsi="Arial" w:cs="Arial"/>
        </w:rPr>
        <w:tab/>
      </w:r>
      <w:r w:rsidR="00393A96" w:rsidRPr="00CC098F">
        <w:rPr>
          <w:rFonts w:ascii="Arial" w:hAnsi="Arial" w:cs="Arial"/>
        </w:rPr>
        <w:t xml:space="preserve">The </w:t>
      </w:r>
      <w:r w:rsidR="00934570">
        <w:rPr>
          <w:rFonts w:ascii="Arial" w:hAnsi="Arial" w:cs="Arial"/>
        </w:rPr>
        <w:t xml:space="preserve">information </w:t>
      </w:r>
      <w:r w:rsidR="00063015">
        <w:rPr>
          <w:rFonts w:ascii="Arial" w:hAnsi="Arial" w:cs="Arial"/>
        </w:rPr>
        <w:t xml:space="preserve">which was received from the Provincial Departments of Cooperative Governance and Traditional Affairs </w:t>
      </w:r>
      <w:r w:rsidR="00DB08CF">
        <w:rPr>
          <w:rFonts w:ascii="Arial" w:hAnsi="Arial" w:cs="Arial"/>
        </w:rPr>
        <w:t>is contained in the table below.</w:t>
      </w:r>
    </w:p>
    <w:p w:rsidR="007366CB" w:rsidRPr="002147CA" w:rsidRDefault="007366CB" w:rsidP="00FB0C3A">
      <w:pPr>
        <w:rPr>
          <w:b/>
        </w:rPr>
      </w:pPr>
    </w:p>
    <w:p w:rsidR="00FB0C3A" w:rsidRDefault="00FB0C3A" w:rsidP="00FB0C3A">
      <w:pPr>
        <w:rPr>
          <w:b/>
        </w:rPr>
      </w:pPr>
      <w:r w:rsidRPr="00FF4CB5">
        <w:rPr>
          <w:b/>
        </w:rPr>
        <w:t>REPLY:</w:t>
      </w:r>
      <w:r w:rsidR="00934570">
        <w:rPr>
          <w:b/>
        </w:rPr>
        <w:t xml:space="preserve"> PQ 1201</w:t>
      </w:r>
      <w:r w:rsidR="00961BE6">
        <w:rPr>
          <w:b/>
        </w:rPr>
        <w:t xml:space="preserve"> (1)</w:t>
      </w:r>
    </w:p>
    <w:p w:rsidR="00FB0C3A" w:rsidRPr="00FF4CB5" w:rsidRDefault="00FB0C3A" w:rsidP="00FB0C3A">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88"/>
      </w:tblGrid>
      <w:tr w:rsidR="009515C6" w:rsidTr="009D69A1">
        <w:trPr>
          <w:trHeight w:val="7289"/>
        </w:trPr>
        <w:tc>
          <w:tcPr>
            <w:tcW w:w="2376" w:type="dxa"/>
            <w:shd w:val="clear" w:color="auto" w:fill="auto"/>
          </w:tcPr>
          <w:p w:rsidR="009515C6" w:rsidRDefault="009515C6" w:rsidP="00934570">
            <w:pPr>
              <w:rPr>
                <w:b/>
              </w:rPr>
            </w:pPr>
            <w:r>
              <w:rPr>
                <w:b/>
              </w:rPr>
              <w:t xml:space="preserve">NORTHERN CAPE </w:t>
            </w:r>
          </w:p>
          <w:p w:rsidR="009515C6" w:rsidRPr="00043FE1" w:rsidRDefault="009515C6" w:rsidP="00043FE1">
            <w:pPr>
              <w:rPr>
                <w:rFonts w:eastAsia="Calibri"/>
              </w:rPr>
            </w:pPr>
          </w:p>
        </w:tc>
        <w:tc>
          <w:tcPr>
            <w:tcW w:w="7088" w:type="dxa"/>
            <w:shd w:val="clear" w:color="auto" w:fill="auto"/>
          </w:tcPr>
          <w:p w:rsidR="00063015" w:rsidRDefault="00063015" w:rsidP="001042D3">
            <w:pPr>
              <w:ind w:hanging="139"/>
              <w:jc w:val="both"/>
              <w:rPr>
                <w:rFonts w:eastAsia="Calibri"/>
              </w:rPr>
            </w:pPr>
          </w:p>
          <w:p w:rsidR="009515C6" w:rsidRDefault="00961BE6" w:rsidP="001042D3">
            <w:pPr>
              <w:ind w:hanging="139"/>
              <w:jc w:val="both"/>
              <w:rPr>
                <w:rFonts w:eastAsia="Calibri"/>
                <w:lang w:val="en-ZA"/>
              </w:rPr>
            </w:pPr>
            <w:r>
              <w:rPr>
                <w:rFonts w:eastAsia="Calibri"/>
              </w:rPr>
              <w:t xml:space="preserve">  </w:t>
            </w:r>
            <w:r w:rsidR="009515C6">
              <w:rPr>
                <w:rFonts w:eastAsia="Calibri"/>
              </w:rPr>
              <w:t xml:space="preserve">Provincial legislation is aligned with the provisions of the </w:t>
            </w:r>
            <w:r w:rsidR="009515C6" w:rsidRPr="009515C6">
              <w:rPr>
                <w:rFonts w:eastAsia="Calibri"/>
                <w:lang w:val="en-ZA"/>
              </w:rPr>
              <w:t>Traditional Leadership and Governance Framework Act, Act 41 of 2003</w:t>
            </w:r>
            <w:r w:rsidR="009515C6">
              <w:rPr>
                <w:rFonts w:eastAsia="Calibri"/>
                <w:lang w:val="en-ZA"/>
              </w:rPr>
              <w:t xml:space="preserve">. Section 9 of the Northern Cape Traditional Leadership, Governance and Houses of Traditional Leaders Act, 2001 deals with the function of a traditional Council  which determines </w:t>
            </w:r>
            <w:r w:rsidR="00761734">
              <w:rPr>
                <w:rFonts w:eastAsia="Calibri"/>
                <w:lang w:val="en-ZA"/>
              </w:rPr>
              <w:t>“</w:t>
            </w:r>
            <w:r w:rsidR="009515C6">
              <w:rPr>
                <w:rFonts w:eastAsia="Calibri"/>
                <w:lang w:val="en-ZA"/>
              </w:rPr>
              <w:t xml:space="preserve">(1) The traditional council of any traditional community, must subject to the provisions of the Constitution , the Framework Act, this Act and </w:t>
            </w:r>
            <w:r w:rsidR="00A25DCF">
              <w:rPr>
                <w:rFonts w:eastAsia="Calibri"/>
                <w:lang w:val="en-ZA"/>
              </w:rPr>
              <w:t>an</w:t>
            </w:r>
            <w:r w:rsidR="009515C6">
              <w:rPr>
                <w:rFonts w:eastAsia="Calibri"/>
                <w:lang w:val="en-ZA"/>
              </w:rPr>
              <w:t>y other law:</w:t>
            </w:r>
          </w:p>
          <w:p w:rsidR="009515C6" w:rsidRDefault="009515C6" w:rsidP="009515C6">
            <w:pPr>
              <w:ind w:hanging="139"/>
              <w:rPr>
                <w:rFonts w:eastAsia="Calibri"/>
                <w:lang w:val="en-ZA"/>
              </w:rPr>
            </w:pPr>
          </w:p>
          <w:p w:rsidR="009515C6" w:rsidRDefault="009515C6" w:rsidP="001042D3">
            <w:pPr>
              <w:pStyle w:val="ListParagraph"/>
              <w:ind w:left="0"/>
              <w:contextualSpacing/>
              <w:jc w:val="both"/>
            </w:pPr>
            <w:r>
              <w:t>(m)</w:t>
            </w:r>
            <w:r w:rsidR="00761734">
              <w:t xml:space="preserve"> k</w:t>
            </w:r>
            <w:r>
              <w:t>eep proper records of its activities and accounts as audited</w:t>
            </w:r>
            <w:r w:rsidR="00761734">
              <w:t>;</w:t>
            </w:r>
          </w:p>
          <w:p w:rsidR="00761734" w:rsidRDefault="00761734" w:rsidP="001042D3">
            <w:pPr>
              <w:pStyle w:val="ListParagraph"/>
              <w:ind w:left="0"/>
              <w:contextualSpacing/>
              <w:jc w:val="both"/>
            </w:pPr>
            <w:r>
              <w:t>(n) have its financial statements audited.”</w:t>
            </w:r>
          </w:p>
          <w:p w:rsidR="009515C6" w:rsidRDefault="009515C6" w:rsidP="001042D3">
            <w:pPr>
              <w:pStyle w:val="ListParagraph"/>
              <w:ind w:left="3"/>
              <w:jc w:val="both"/>
            </w:pPr>
          </w:p>
          <w:p w:rsidR="00761734" w:rsidRDefault="00761734" w:rsidP="00B726EE">
            <w:pPr>
              <w:pStyle w:val="ListParagraph"/>
              <w:ind w:left="3"/>
              <w:jc w:val="both"/>
            </w:pPr>
            <w:r>
              <w:t>It also makes provision in Section 27 (1)-(4) for the auditing of the books and accounts of traditional councils by the Auditor-General.</w:t>
            </w:r>
          </w:p>
          <w:p w:rsidR="00761734" w:rsidRDefault="00761734" w:rsidP="00B726EE">
            <w:pPr>
              <w:pStyle w:val="ListParagraph"/>
              <w:ind w:left="3"/>
              <w:jc w:val="both"/>
            </w:pPr>
          </w:p>
          <w:p w:rsidR="001042D3" w:rsidRPr="001042D3" w:rsidRDefault="00ED51F7" w:rsidP="00B726EE">
            <w:pPr>
              <w:pStyle w:val="ListParagraph"/>
              <w:ind w:left="3"/>
              <w:jc w:val="both"/>
              <w:rPr>
                <w:lang w:val="pt-BR"/>
              </w:rPr>
            </w:pPr>
            <w:r>
              <w:t xml:space="preserve">In addition, because of the high costs involved with auditing of books, most of the councils are not in a financial position to have their books audited. </w:t>
            </w:r>
            <w:r w:rsidR="001042D3" w:rsidRPr="001042D3">
              <w:rPr>
                <w:lang w:val="pt-BR"/>
              </w:rPr>
              <w:t>As an intervention, the H</w:t>
            </w:r>
            <w:r w:rsidR="006061F9">
              <w:rPr>
                <w:lang w:val="pt-BR"/>
              </w:rPr>
              <w:t xml:space="preserve">ead of </w:t>
            </w:r>
            <w:r w:rsidR="001042D3" w:rsidRPr="001042D3">
              <w:rPr>
                <w:lang w:val="pt-BR"/>
              </w:rPr>
              <w:t>D</w:t>
            </w:r>
            <w:r w:rsidR="006061F9">
              <w:rPr>
                <w:lang w:val="pt-BR"/>
              </w:rPr>
              <w:t xml:space="preserve">epartment (HoD) of the Department of Cooperative Governance, Human Setllements and Traditional Affairs (CoGHSTA) approved the </w:t>
            </w:r>
            <w:r w:rsidR="001042D3" w:rsidRPr="001042D3">
              <w:rPr>
                <w:lang w:val="pt-BR"/>
              </w:rPr>
              <w:t>auditing of the account</w:t>
            </w:r>
            <w:r w:rsidR="006061F9">
              <w:rPr>
                <w:lang w:val="pt-BR"/>
              </w:rPr>
              <w:t>s of T</w:t>
            </w:r>
            <w:r w:rsidR="00A25DCF">
              <w:rPr>
                <w:lang w:val="pt-BR"/>
              </w:rPr>
              <w:t xml:space="preserve">raditional </w:t>
            </w:r>
            <w:r w:rsidR="006061F9">
              <w:rPr>
                <w:lang w:val="pt-BR"/>
              </w:rPr>
              <w:t>C</w:t>
            </w:r>
            <w:r w:rsidR="00A25DCF">
              <w:rPr>
                <w:lang w:val="pt-BR"/>
              </w:rPr>
              <w:t>ouncils</w:t>
            </w:r>
            <w:r w:rsidR="001042D3" w:rsidRPr="001042D3">
              <w:rPr>
                <w:lang w:val="pt-BR"/>
              </w:rPr>
              <w:t xml:space="preserve"> in </w:t>
            </w:r>
            <w:r w:rsidR="006061F9">
              <w:rPr>
                <w:lang w:val="pt-BR"/>
              </w:rPr>
              <w:t>2016</w:t>
            </w:r>
            <w:r w:rsidR="001042D3" w:rsidRPr="001042D3">
              <w:rPr>
                <w:lang w:val="pt-BR"/>
              </w:rPr>
              <w:t>, however</w:t>
            </w:r>
            <w:r w:rsidR="006061F9">
              <w:rPr>
                <w:lang w:val="pt-BR"/>
              </w:rPr>
              <w:t xml:space="preserve"> the actual audit</w:t>
            </w:r>
            <w:r w:rsidR="001042D3" w:rsidRPr="001042D3">
              <w:rPr>
                <w:lang w:val="pt-BR"/>
              </w:rPr>
              <w:t xml:space="preserve"> was not actioned.</w:t>
            </w:r>
          </w:p>
          <w:p w:rsidR="001042D3" w:rsidRPr="001042D3" w:rsidRDefault="001042D3" w:rsidP="00B726EE">
            <w:pPr>
              <w:pStyle w:val="ListParagraph"/>
              <w:ind w:left="3"/>
              <w:jc w:val="both"/>
              <w:rPr>
                <w:lang w:val="pt-BR"/>
              </w:rPr>
            </w:pPr>
          </w:p>
          <w:p w:rsidR="009515C6" w:rsidRDefault="006061F9" w:rsidP="000078C3">
            <w:pPr>
              <w:pStyle w:val="ListParagraph"/>
              <w:ind w:left="3"/>
              <w:jc w:val="both"/>
              <w:rPr>
                <w:lang w:val="pt-BR"/>
              </w:rPr>
            </w:pPr>
            <w:r>
              <w:rPr>
                <w:lang w:val="pt-BR"/>
              </w:rPr>
              <w:t>The</w:t>
            </w:r>
            <w:r w:rsidR="00A25DCF" w:rsidRPr="00A25DCF">
              <w:rPr>
                <w:lang w:val="pt-BR"/>
              </w:rPr>
              <w:t xml:space="preserve"> Department </w:t>
            </w:r>
            <w:r w:rsidR="001042D3" w:rsidRPr="001042D3">
              <w:rPr>
                <w:lang w:val="pt-BR"/>
              </w:rPr>
              <w:t xml:space="preserve">has been checking the books of </w:t>
            </w:r>
            <w:r w:rsidR="00A25DCF">
              <w:rPr>
                <w:lang w:val="pt-BR"/>
              </w:rPr>
              <w:t xml:space="preserve">the traditional </w:t>
            </w:r>
            <w:r w:rsidR="001042D3" w:rsidRPr="001042D3">
              <w:rPr>
                <w:lang w:val="pt-BR"/>
              </w:rPr>
              <w:t>councils on a monthly basis. It is then processed and captured on an online system Softline Pastel.  To date all bank statements are reconciled and provisional financial statements are compiled and provi</w:t>
            </w:r>
            <w:r w:rsidR="00B726EE">
              <w:rPr>
                <w:lang w:val="pt-BR"/>
              </w:rPr>
              <w:t>ded to the traditional councils.</w:t>
            </w:r>
          </w:p>
          <w:p w:rsidR="003276E0" w:rsidRPr="000078C3" w:rsidRDefault="003276E0" w:rsidP="000078C3">
            <w:pPr>
              <w:pStyle w:val="ListParagraph"/>
              <w:ind w:left="3"/>
              <w:jc w:val="both"/>
              <w:rPr>
                <w:lang w:val="pt-BR"/>
              </w:rPr>
            </w:pPr>
          </w:p>
        </w:tc>
      </w:tr>
      <w:tr w:rsidR="00B726EE" w:rsidTr="00D23184">
        <w:trPr>
          <w:trHeight w:val="1071"/>
        </w:trPr>
        <w:tc>
          <w:tcPr>
            <w:tcW w:w="2376" w:type="dxa"/>
            <w:shd w:val="clear" w:color="auto" w:fill="auto"/>
          </w:tcPr>
          <w:p w:rsidR="00B726EE" w:rsidRPr="00B726EE" w:rsidRDefault="00B726EE" w:rsidP="00043FE1">
            <w:pPr>
              <w:rPr>
                <w:rFonts w:eastAsia="Calibri"/>
                <w:b/>
              </w:rPr>
            </w:pPr>
            <w:r w:rsidRPr="00B726EE">
              <w:rPr>
                <w:rFonts w:eastAsia="Calibri"/>
                <w:b/>
              </w:rPr>
              <w:t>GAUTENG</w:t>
            </w:r>
          </w:p>
        </w:tc>
        <w:tc>
          <w:tcPr>
            <w:tcW w:w="7088" w:type="dxa"/>
            <w:shd w:val="clear" w:color="auto" w:fill="auto"/>
          </w:tcPr>
          <w:p w:rsidR="000078C3" w:rsidRPr="000078C3" w:rsidRDefault="002133D5" w:rsidP="000078C3">
            <w:pPr>
              <w:rPr>
                <w:rStyle w:val="Emphasis"/>
                <w:i w:val="0"/>
              </w:rPr>
            </w:pPr>
            <w:r w:rsidRPr="002133D5">
              <w:rPr>
                <w:rStyle w:val="Emphasis"/>
                <w:i w:val="0"/>
              </w:rPr>
              <w:t>The Gauteng Provincial Govern</w:t>
            </w:r>
            <w:r w:rsidR="000078C3">
              <w:rPr>
                <w:rStyle w:val="Emphasis"/>
                <w:i w:val="0"/>
              </w:rPr>
              <w:t xml:space="preserve">ment is empowered by Section 7(1) </w:t>
            </w:r>
            <w:r w:rsidR="00A57C4F">
              <w:rPr>
                <w:rStyle w:val="Emphasis"/>
                <w:i w:val="0"/>
              </w:rPr>
              <w:t>and 28</w:t>
            </w:r>
            <w:r w:rsidR="000078C3">
              <w:rPr>
                <w:rStyle w:val="Emphasis"/>
                <w:i w:val="0"/>
              </w:rPr>
              <w:t>(a)-(b) o</w:t>
            </w:r>
            <w:r w:rsidRPr="002133D5">
              <w:rPr>
                <w:rStyle w:val="Emphasis"/>
                <w:i w:val="0"/>
              </w:rPr>
              <w:t>f the Gauteng Traditional Leadership and Governance Act</w:t>
            </w:r>
            <w:r w:rsidR="000078C3">
              <w:rPr>
                <w:rStyle w:val="Emphasis"/>
                <w:i w:val="0"/>
              </w:rPr>
              <w:t>, 2010 (Act No4 of 2010)</w:t>
            </w:r>
            <w:r w:rsidR="00DE233B">
              <w:rPr>
                <w:rStyle w:val="Emphasis"/>
                <w:i w:val="0"/>
              </w:rPr>
              <w:t xml:space="preserve">. Section </w:t>
            </w:r>
            <w:r w:rsidR="000078C3">
              <w:rPr>
                <w:rStyle w:val="Emphasis"/>
                <w:i w:val="0"/>
              </w:rPr>
              <w:t>7 (1)</w:t>
            </w:r>
            <w:r w:rsidR="00DE233B">
              <w:rPr>
                <w:rStyle w:val="Emphasis"/>
                <w:i w:val="0"/>
              </w:rPr>
              <w:t xml:space="preserve"> states that</w:t>
            </w:r>
            <w:r w:rsidR="000078C3">
              <w:rPr>
                <w:rStyle w:val="Emphasis"/>
                <w:i w:val="0"/>
              </w:rPr>
              <w:t xml:space="preserve"> “the books and accounts of every traditional council must be audited by the Auditor-General”</w:t>
            </w:r>
            <w:r w:rsidR="003276E0">
              <w:rPr>
                <w:rStyle w:val="Emphasis"/>
                <w:i w:val="0"/>
              </w:rPr>
              <w:t>.</w:t>
            </w:r>
            <w:r w:rsidR="000078C3">
              <w:rPr>
                <w:rStyle w:val="Emphasis"/>
                <w:i w:val="0"/>
              </w:rPr>
              <w:t xml:space="preserve"> Section 28(a)(b)</w:t>
            </w:r>
            <w:r w:rsidR="00DE233B">
              <w:rPr>
                <w:rStyle w:val="Emphasis"/>
                <w:i w:val="0"/>
              </w:rPr>
              <w:t xml:space="preserve"> </w:t>
            </w:r>
            <w:r w:rsidR="00DE233B" w:rsidRPr="00DE233B">
              <w:rPr>
                <w:rStyle w:val="Emphasis"/>
                <w:i w:val="0"/>
              </w:rPr>
              <w:t>states that</w:t>
            </w:r>
            <w:r w:rsidR="00DE233B">
              <w:rPr>
                <w:rStyle w:val="Emphasis"/>
                <w:i w:val="0"/>
              </w:rPr>
              <w:t xml:space="preserve"> “</w:t>
            </w:r>
            <w:r w:rsidR="000078C3" w:rsidRPr="000078C3">
              <w:rPr>
                <w:rStyle w:val="Emphasis"/>
                <w:i w:val="0"/>
              </w:rPr>
              <w:t>A traditional council must-</w:t>
            </w:r>
          </w:p>
          <w:p w:rsidR="000078C3" w:rsidRPr="000078C3" w:rsidRDefault="000078C3" w:rsidP="00DE233B">
            <w:pPr>
              <w:ind w:left="325" w:hanging="325"/>
              <w:rPr>
                <w:rStyle w:val="Emphasis"/>
                <w:i w:val="0"/>
              </w:rPr>
            </w:pPr>
            <w:r w:rsidRPr="000078C3">
              <w:rPr>
                <w:rStyle w:val="Emphasis"/>
                <w:i w:val="0"/>
              </w:rPr>
              <w:t>(a)keep proper records of all its activities and income and expenditure; and</w:t>
            </w:r>
          </w:p>
          <w:p w:rsidR="000078C3" w:rsidRDefault="000078C3" w:rsidP="00DE233B">
            <w:pPr>
              <w:ind w:left="325" w:hanging="325"/>
              <w:rPr>
                <w:rStyle w:val="Emphasis"/>
                <w:i w:val="0"/>
              </w:rPr>
            </w:pPr>
            <w:r w:rsidRPr="000078C3">
              <w:rPr>
                <w:rStyle w:val="Emphasis"/>
                <w:i w:val="0"/>
              </w:rPr>
              <w:t>(b)make the records referred to in paragraph (a) available to be</w:t>
            </w:r>
            <w:r w:rsidR="00DE233B">
              <w:rPr>
                <w:rStyle w:val="Emphasis"/>
                <w:i w:val="0"/>
              </w:rPr>
              <w:t xml:space="preserve"> audited by the Auditor-General”</w:t>
            </w:r>
            <w:r w:rsidR="003276E0">
              <w:rPr>
                <w:rStyle w:val="Emphasis"/>
                <w:i w:val="0"/>
              </w:rPr>
              <w:t>.</w:t>
            </w:r>
          </w:p>
          <w:p w:rsidR="003276E0" w:rsidRPr="002133D5" w:rsidRDefault="003276E0" w:rsidP="00DE233B">
            <w:pPr>
              <w:ind w:left="325" w:hanging="325"/>
              <w:rPr>
                <w:iCs/>
              </w:rPr>
            </w:pPr>
          </w:p>
        </w:tc>
      </w:tr>
      <w:tr w:rsidR="002133D5" w:rsidTr="00D23184">
        <w:tc>
          <w:tcPr>
            <w:tcW w:w="2376" w:type="dxa"/>
            <w:shd w:val="clear" w:color="auto" w:fill="auto"/>
          </w:tcPr>
          <w:p w:rsidR="002133D5" w:rsidRPr="002133D5" w:rsidRDefault="002133D5" w:rsidP="002133D5">
            <w:pPr>
              <w:rPr>
                <w:rFonts w:eastAsia="Calibri"/>
                <w:b/>
              </w:rPr>
            </w:pPr>
            <w:r w:rsidRPr="002133D5">
              <w:rPr>
                <w:rFonts w:eastAsia="Calibri"/>
                <w:b/>
              </w:rPr>
              <w:t>NORTH WEST</w:t>
            </w:r>
          </w:p>
          <w:p w:rsidR="002133D5" w:rsidRPr="00043FE1" w:rsidRDefault="002133D5" w:rsidP="00043FE1">
            <w:pPr>
              <w:rPr>
                <w:rFonts w:eastAsia="Calibri"/>
              </w:rPr>
            </w:pPr>
          </w:p>
        </w:tc>
        <w:tc>
          <w:tcPr>
            <w:tcW w:w="7088" w:type="dxa"/>
            <w:shd w:val="clear" w:color="auto" w:fill="auto"/>
          </w:tcPr>
          <w:p w:rsidR="00DE4A97" w:rsidRPr="00DE4A97" w:rsidRDefault="00DE4A97" w:rsidP="00DE4A97">
            <w:pPr>
              <w:rPr>
                <w:rFonts w:eastAsia="Calibri"/>
              </w:rPr>
            </w:pPr>
            <w:r w:rsidRPr="00DE4A97">
              <w:rPr>
                <w:rFonts w:eastAsia="Calibri"/>
              </w:rPr>
              <w:t>Section 31(1) of the North West Traditional Leadership and Governance Act, 2005 (Act No. 2 of 2005) provides that:-</w:t>
            </w:r>
          </w:p>
          <w:p w:rsidR="00DE4A97" w:rsidRPr="00DE4A97" w:rsidRDefault="00DE4A97" w:rsidP="00DE4A97">
            <w:pPr>
              <w:rPr>
                <w:rFonts w:eastAsia="Calibri"/>
              </w:rPr>
            </w:pPr>
          </w:p>
          <w:p w:rsidR="00DE4A97" w:rsidRPr="00043FE1" w:rsidRDefault="00DE4A97" w:rsidP="00043FE1">
            <w:pPr>
              <w:rPr>
                <w:rFonts w:eastAsia="Calibri"/>
              </w:rPr>
            </w:pPr>
            <w:r w:rsidRPr="00DE4A97">
              <w:rPr>
                <w:rFonts w:eastAsia="Calibri"/>
              </w:rPr>
              <w:t>“</w:t>
            </w:r>
            <w:r w:rsidRPr="00DE4A97">
              <w:rPr>
                <w:rFonts w:eastAsia="Calibri"/>
                <w:lang w:val="en-ZA"/>
              </w:rPr>
              <w:t>The books and accounts of every traditional community, recognized in terms of section 3 must be audited by the Auditor-General</w:t>
            </w:r>
            <w:r w:rsidR="00346FBC">
              <w:rPr>
                <w:rFonts w:eastAsia="Calibri"/>
                <w:lang w:val="en-ZA"/>
              </w:rPr>
              <w:t>”.</w:t>
            </w:r>
          </w:p>
        </w:tc>
      </w:tr>
    </w:tbl>
    <w:p w:rsidR="00FB0C3A" w:rsidRDefault="00FB0C3A" w:rsidP="00FB0C3A">
      <w:pPr>
        <w:rPr>
          <w:b/>
        </w:rPr>
      </w:pPr>
    </w:p>
    <w:p w:rsidR="002D1E35" w:rsidRDefault="002D1E35" w:rsidP="00FB0C3A">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88"/>
      </w:tblGrid>
      <w:tr w:rsidR="002D1E35" w:rsidTr="006B04EE">
        <w:trPr>
          <w:trHeight w:val="1458"/>
        </w:trPr>
        <w:tc>
          <w:tcPr>
            <w:tcW w:w="2376" w:type="dxa"/>
            <w:shd w:val="clear" w:color="auto" w:fill="auto"/>
          </w:tcPr>
          <w:p w:rsidR="002D1E35" w:rsidRPr="00A15761" w:rsidRDefault="00A15761" w:rsidP="002D1E35">
            <w:pPr>
              <w:rPr>
                <w:rFonts w:eastAsia="Calibri"/>
                <w:b/>
              </w:rPr>
            </w:pPr>
            <w:r w:rsidRPr="00A15761">
              <w:rPr>
                <w:rFonts w:eastAsia="Calibri"/>
                <w:b/>
              </w:rPr>
              <w:t>LIMPOPO</w:t>
            </w:r>
          </w:p>
        </w:tc>
        <w:tc>
          <w:tcPr>
            <w:tcW w:w="7088" w:type="dxa"/>
            <w:shd w:val="clear" w:color="auto" w:fill="auto"/>
          </w:tcPr>
          <w:p w:rsidR="00A15761" w:rsidRDefault="00A15761" w:rsidP="003276E0">
            <w:pPr>
              <w:jc w:val="both"/>
              <w:rPr>
                <w:rFonts w:eastAsia="Calibri"/>
                <w:lang w:eastAsia="en-ZA"/>
              </w:rPr>
            </w:pPr>
            <w:r w:rsidRPr="00A15761">
              <w:rPr>
                <w:rFonts w:eastAsia="Calibri"/>
                <w:lang w:eastAsia="en-ZA"/>
              </w:rPr>
              <w:t xml:space="preserve">The  Limpopo Province has through the Traditional Leadership and Institutions Act, Act 6 of 2005, gave effect to section 4(2)(b) of the Traditional Leadership and Governance Framework Act, by legislating it into law. </w:t>
            </w:r>
          </w:p>
          <w:p w:rsidR="002849B3" w:rsidRPr="00A15761" w:rsidRDefault="002849B3" w:rsidP="002849B3">
            <w:pPr>
              <w:ind w:hanging="139"/>
              <w:jc w:val="both"/>
              <w:rPr>
                <w:rFonts w:eastAsia="Calibri"/>
                <w:lang w:eastAsia="en-ZA"/>
              </w:rPr>
            </w:pPr>
          </w:p>
          <w:p w:rsidR="00A15761" w:rsidRPr="00A15761" w:rsidRDefault="00A15761" w:rsidP="00A15761">
            <w:pPr>
              <w:pStyle w:val="ListParagraph"/>
              <w:ind w:left="3"/>
              <w:rPr>
                <w:lang w:val="en-US"/>
              </w:rPr>
            </w:pPr>
            <w:r w:rsidRPr="00A15761">
              <w:rPr>
                <w:lang w:val="en-US"/>
              </w:rPr>
              <w:t>Section 29(2) of Limpopo Traditional Leadership and Institution Act, Act No 6 of 2005 states as follows:</w:t>
            </w:r>
          </w:p>
          <w:p w:rsidR="00A15761" w:rsidRPr="000F61E2" w:rsidRDefault="00A15761" w:rsidP="00A15761">
            <w:pPr>
              <w:pStyle w:val="ListParagraph"/>
              <w:ind w:left="3"/>
              <w:rPr>
                <w:lang w:val="en-US"/>
              </w:rPr>
            </w:pPr>
            <w:r w:rsidRPr="000F61E2">
              <w:rPr>
                <w:lang w:val="en-US"/>
              </w:rPr>
              <w:t>“A traditional council must make the records referred in sub section (1) available to be audited by the Auditor General.”</w:t>
            </w:r>
          </w:p>
          <w:p w:rsidR="002D1E35" w:rsidRPr="00043FE1" w:rsidRDefault="002D1E35" w:rsidP="002D1E35">
            <w:pPr>
              <w:pStyle w:val="ListParagraph"/>
              <w:ind w:left="3"/>
              <w:jc w:val="both"/>
            </w:pPr>
          </w:p>
        </w:tc>
      </w:tr>
      <w:tr w:rsidR="002D1E35" w:rsidTr="00DB08CF">
        <w:trPr>
          <w:trHeight w:val="679"/>
        </w:trPr>
        <w:tc>
          <w:tcPr>
            <w:tcW w:w="2376" w:type="dxa"/>
            <w:shd w:val="clear" w:color="auto" w:fill="auto"/>
          </w:tcPr>
          <w:p w:rsidR="002D1E35" w:rsidRPr="00B726EE" w:rsidRDefault="006A4D60" w:rsidP="002D1E35">
            <w:pPr>
              <w:rPr>
                <w:rFonts w:eastAsia="Calibri"/>
                <w:b/>
              </w:rPr>
            </w:pPr>
            <w:r>
              <w:rPr>
                <w:rFonts w:ascii="Arial" w:hAnsi="Arial" w:cs="Arial"/>
                <w:b/>
              </w:rPr>
              <w:t>KWA-ZULU NATAL</w:t>
            </w:r>
          </w:p>
        </w:tc>
        <w:tc>
          <w:tcPr>
            <w:tcW w:w="7088" w:type="dxa"/>
            <w:shd w:val="clear" w:color="auto" w:fill="auto"/>
          </w:tcPr>
          <w:p w:rsidR="000F61E2" w:rsidRPr="000F61E2" w:rsidRDefault="000F61E2" w:rsidP="000F61E2">
            <w:pPr>
              <w:jc w:val="both"/>
              <w:rPr>
                <w:iCs/>
              </w:rPr>
            </w:pPr>
            <w:r w:rsidRPr="000F61E2">
              <w:rPr>
                <w:iCs/>
              </w:rPr>
              <w:t>Section 8 (2) (b) of The KwaZulu-Natal Traditional Leadership and Governance Act No. 5 of 2005 states that</w:t>
            </w:r>
            <w:r w:rsidR="003276E0">
              <w:rPr>
                <w:iCs/>
              </w:rPr>
              <w:t>;</w:t>
            </w:r>
            <w:r w:rsidRPr="000F61E2">
              <w:rPr>
                <w:iCs/>
              </w:rPr>
              <w:t xml:space="preserve"> </w:t>
            </w:r>
          </w:p>
          <w:p w:rsidR="000F61E2" w:rsidRPr="000F61E2" w:rsidRDefault="000F61E2" w:rsidP="000F61E2">
            <w:pPr>
              <w:jc w:val="both"/>
              <w:rPr>
                <w:iCs/>
              </w:rPr>
            </w:pPr>
          </w:p>
          <w:p w:rsidR="002D1E35" w:rsidRPr="002133D5" w:rsidRDefault="000F61E2" w:rsidP="003276E0">
            <w:pPr>
              <w:jc w:val="both"/>
              <w:rPr>
                <w:iCs/>
              </w:rPr>
            </w:pPr>
            <w:r w:rsidRPr="000F61E2">
              <w:rPr>
                <w:iCs/>
              </w:rPr>
              <w:t>“A traditional council must have its financial statements audited by the Auditor-General”</w:t>
            </w:r>
          </w:p>
        </w:tc>
      </w:tr>
      <w:tr w:rsidR="002D1E35" w:rsidTr="00881D57">
        <w:tc>
          <w:tcPr>
            <w:tcW w:w="2376" w:type="dxa"/>
            <w:shd w:val="clear" w:color="auto" w:fill="auto"/>
          </w:tcPr>
          <w:p w:rsidR="002D1E35" w:rsidRPr="00043FE1" w:rsidRDefault="006A4D60" w:rsidP="002D1E35">
            <w:pPr>
              <w:rPr>
                <w:rFonts w:eastAsia="Calibri"/>
              </w:rPr>
            </w:pPr>
            <w:r>
              <w:rPr>
                <w:rFonts w:ascii="Arial" w:hAnsi="Arial" w:cs="Arial"/>
                <w:b/>
              </w:rPr>
              <w:t>FREE STATE</w:t>
            </w:r>
          </w:p>
        </w:tc>
        <w:tc>
          <w:tcPr>
            <w:tcW w:w="7088" w:type="dxa"/>
            <w:shd w:val="clear" w:color="auto" w:fill="auto"/>
          </w:tcPr>
          <w:p w:rsidR="0033157B" w:rsidRPr="0033157B" w:rsidRDefault="0033157B" w:rsidP="0033157B">
            <w:pPr>
              <w:rPr>
                <w:rFonts w:eastAsia="Calibri"/>
              </w:rPr>
            </w:pPr>
            <w:r w:rsidRPr="0033157B">
              <w:rPr>
                <w:rFonts w:eastAsia="Calibri"/>
              </w:rPr>
              <w:t xml:space="preserve">Section 26F (2)(b) of the Free State Traditional Leadership and Governance Amendment Act, </w:t>
            </w:r>
            <w:r w:rsidR="008A150B">
              <w:rPr>
                <w:rFonts w:eastAsia="Calibri"/>
              </w:rPr>
              <w:t xml:space="preserve">Act </w:t>
            </w:r>
            <w:r w:rsidRPr="0033157B">
              <w:rPr>
                <w:rFonts w:eastAsia="Calibri"/>
              </w:rPr>
              <w:t>No. 4 of 2018 states as follows:</w:t>
            </w:r>
          </w:p>
          <w:p w:rsidR="0033157B" w:rsidRPr="0033157B" w:rsidRDefault="0033157B" w:rsidP="0033157B">
            <w:pPr>
              <w:rPr>
                <w:rFonts w:eastAsia="Calibri"/>
              </w:rPr>
            </w:pPr>
          </w:p>
          <w:p w:rsidR="002D1E35" w:rsidRPr="00043FE1" w:rsidRDefault="0033157B" w:rsidP="003276E0">
            <w:pPr>
              <w:rPr>
                <w:rFonts w:eastAsia="Calibri"/>
              </w:rPr>
            </w:pPr>
            <w:r w:rsidRPr="0033157B">
              <w:rPr>
                <w:rFonts w:eastAsia="Calibri"/>
              </w:rPr>
              <w:t>“A principal traditional council must- (b) have its financial statements audited by the Auditor-General and submit such audited statements to the Premier within one month from the date of receipt thereof”</w:t>
            </w:r>
          </w:p>
        </w:tc>
      </w:tr>
      <w:tr w:rsidR="000078C3" w:rsidTr="00881D57">
        <w:tc>
          <w:tcPr>
            <w:tcW w:w="2376" w:type="dxa"/>
            <w:shd w:val="clear" w:color="auto" w:fill="auto"/>
          </w:tcPr>
          <w:p w:rsidR="000078C3" w:rsidRDefault="000078C3" w:rsidP="002D1E35">
            <w:pPr>
              <w:rPr>
                <w:rFonts w:ascii="Arial" w:hAnsi="Arial" w:cs="Arial"/>
                <w:b/>
              </w:rPr>
            </w:pPr>
            <w:r w:rsidRPr="000078C3">
              <w:rPr>
                <w:rFonts w:ascii="Arial" w:hAnsi="Arial" w:cs="Arial"/>
                <w:b/>
              </w:rPr>
              <w:t>MPUMALANGA</w:t>
            </w:r>
          </w:p>
        </w:tc>
        <w:tc>
          <w:tcPr>
            <w:tcW w:w="7088" w:type="dxa"/>
            <w:shd w:val="clear" w:color="auto" w:fill="auto"/>
          </w:tcPr>
          <w:p w:rsidR="000078C3" w:rsidRDefault="000F61E2" w:rsidP="008A150B">
            <w:pPr>
              <w:rPr>
                <w:rFonts w:eastAsia="Calibri"/>
              </w:rPr>
            </w:pPr>
            <w:r>
              <w:rPr>
                <w:rFonts w:eastAsia="Calibri"/>
              </w:rPr>
              <w:t>The Mpumalanga Traditiona</w:t>
            </w:r>
            <w:r w:rsidR="008A150B">
              <w:rPr>
                <w:rFonts w:eastAsia="Calibri"/>
              </w:rPr>
              <w:t xml:space="preserve">l Leadership and Governance Act, No. 3 of </w:t>
            </w:r>
            <w:r>
              <w:rPr>
                <w:rFonts w:eastAsia="Calibri"/>
              </w:rPr>
              <w:t>2005</w:t>
            </w:r>
            <w:r w:rsidR="008A150B">
              <w:rPr>
                <w:rFonts w:eastAsia="Calibri"/>
              </w:rPr>
              <w:t xml:space="preserve"> under Section 9 (4) makes the following provision “</w:t>
            </w:r>
            <w:r w:rsidR="003276E0">
              <w:rPr>
                <w:rFonts w:eastAsia="Calibri"/>
              </w:rPr>
              <w:t>t</w:t>
            </w:r>
            <w:r w:rsidR="008A150B" w:rsidRPr="008A150B">
              <w:rPr>
                <w:rFonts w:eastAsia="Calibri"/>
              </w:rPr>
              <w:t>he books of account of the traditional council must be audited as prescribed</w:t>
            </w:r>
            <w:r w:rsidR="008A150B">
              <w:rPr>
                <w:rFonts w:eastAsia="Calibri"/>
              </w:rPr>
              <w:t>”</w:t>
            </w:r>
            <w:r w:rsidR="003276E0">
              <w:rPr>
                <w:rFonts w:eastAsia="Calibri"/>
              </w:rPr>
              <w:t>.</w:t>
            </w:r>
          </w:p>
          <w:p w:rsidR="003276E0" w:rsidRPr="0033157B" w:rsidRDefault="003276E0" w:rsidP="008A150B">
            <w:pPr>
              <w:rPr>
                <w:rFonts w:eastAsia="Calibri"/>
              </w:rPr>
            </w:pPr>
          </w:p>
        </w:tc>
      </w:tr>
      <w:tr w:rsidR="002D1E35" w:rsidTr="00881D57">
        <w:tc>
          <w:tcPr>
            <w:tcW w:w="2376" w:type="dxa"/>
            <w:shd w:val="clear" w:color="auto" w:fill="auto"/>
          </w:tcPr>
          <w:p w:rsidR="002D1E35" w:rsidRPr="002637CC" w:rsidRDefault="00DB08CF" w:rsidP="00881D57">
            <w:pPr>
              <w:rPr>
                <w:rFonts w:eastAsia="Calibri"/>
                <w:b/>
              </w:rPr>
            </w:pPr>
            <w:r>
              <w:rPr>
                <w:rFonts w:ascii="Arial" w:hAnsi="Arial" w:cs="Arial"/>
                <w:b/>
              </w:rPr>
              <w:t>EASTERN CAPE</w:t>
            </w:r>
          </w:p>
        </w:tc>
        <w:tc>
          <w:tcPr>
            <w:tcW w:w="7088" w:type="dxa"/>
            <w:shd w:val="clear" w:color="auto" w:fill="auto"/>
          </w:tcPr>
          <w:p w:rsidR="002D1E35" w:rsidRDefault="008A150B" w:rsidP="00881D57">
            <w:pPr>
              <w:rPr>
                <w:rFonts w:eastAsia="Calibri"/>
                <w:lang w:val="en-GB"/>
              </w:rPr>
            </w:pPr>
            <w:r>
              <w:rPr>
                <w:rFonts w:eastAsia="Calibri"/>
                <w:lang w:val="en-GB"/>
              </w:rPr>
              <w:t>The Eastern Cape</w:t>
            </w:r>
            <w:r w:rsidRPr="008A150B">
              <w:rPr>
                <w:rFonts w:eastAsia="Calibri"/>
                <w:lang w:val="en-GB"/>
              </w:rPr>
              <w:t xml:space="preserve"> Traditional Lead</w:t>
            </w:r>
            <w:r>
              <w:rPr>
                <w:rFonts w:eastAsia="Calibri"/>
                <w:lang w:val="en-GB"/>
              </w:rPr>
              <w:t>ership and Governance Act, No. 1 of 2017</w:t>
            </w:r>
            <w:r w:rsidRPr="008A150B">
              <w:rPr>
                <w:rFonts w:eastAsia="Calibri"/>
                <w:lang w:val="en-GB"/>
              </w:rPr>
              <w:t xml:space="preserve"> under Section </w:t>
            </w:r>
            <w:r w:rsidR="00A84244">
              <w:rPr>
                <w:rFonts w:eastAsia="Calibri"/>
                <w:lang w:val="en-GB"/>
              </w:rPr>
              <w:t>17 (2</w:t>
            </w:r>
            <w:r w:rsidRPr="008A150B">
              <w:rPr>
                <w:rFonts w:eastAsia="Calibri"/>
                <w:lang w:val="en-GB"/>
              </w:rPr>
              <w:t xml:space="preserve">) </w:t>
            </w:r>
            <w:r w:rsidR="00A84244">
              <w:rPr>
                <w:rFonts w:eastAsia="Calibri"/>
                <w:lang w:val="en-GB"/>
              </w:rPr>
              <w:t xml:space="preserve">(b) </w:t>
            </w:r>
            <w:r w:rsidRPr="008A150B">
              <w:rPr>
                <w:rFonts w:eastAsia="Calibri"/>
                <w:lang w:val="en-GB"/>
              </w:rPr>
              <w:t>makes the following provision</w:t>
            </w:r>
            <w:r w:rsidR="003276E0">
              <w:rPr>
                <w:rFonts w:eastAsia="Calibri"/>
                <w:lang w:val="en-GB"/>
              </w:rPr>
              <w:t>,</w:t>
            </w:r>
            <w:r w:rsidR="00A84244">
              <w:rPr>
                <w:rFonts w:eastAsia="Calibri"/>
                <w:lang w:val="en-GB"/>
              </w:rPr>
              <w:t xml:space="preserve"> “A principal traditional council is required to have its financial statements audited”</w:t>
            </w:r>
            <w:r w:rsidR="003276E0">
              <w:rPr>
                <w:rFonts w:eastAsia="Calibri"/>
                <w:lang w:val="en-GB"/>
              </w:rPr>
              <w:t>.</w:t>
            </w:r>
          </w:p>
          <w:p w:rsidR="002D1E35" w:rsidRPr="00043FE1" w:rsidRDefault="002D1E35" w:rsidP="00881D57">
            <w:pPr>
              <w:jc w:val="both"/>
              <w:rPr>
                <w:rFonts w:eastAsia="Calibri"/>
              </w:rPr>
            </w:pPr>
          </w:p>
        </w:tc>
      </w:tr>
    </w:tbl>
    <w:p w:rsidR="002D1E35" w:rsidRDefault="002D1E35" w:rsidP="00FB0C3A">
      <w:pPr>
        <w:rPr>
          <w:b/>
        </w:rPr>
      </w:pPr>
    </w:p>
    <w:p w:rsidR="00247485" w:rsidRDefault="00247485" w:rsidP="00247485">
      <w:pPr>
        <w:spacing w:line="360" w:lineRule="auto"/>
        <w:ind w:left="709" w:hanging="709"/>
        <w:jc w:val="both"/>
        <w:rPr>
          <w:rFonts w:ascii="Arial" w:eastAsia="Calibri" w:hAnsi="Arial" w:cs="Arial"/>
          <w:lang w:val="en-ZA"/>
        </w:rPr>
      </w:pPr>
    </w:p>
    <w:p w:rsidR="00247485" w:rsidRPr="008517F7" w:rsidRDefault="00247485" w:rsidP="00247485">
      <w:pPr>
        <w:spacing w:line="360" w:lineRule="auto"/>
        <w:ind w:left="709" w:hanging="709"/>
        <w:jc w:val="both"/>
        <w:rPr>
          <w:rFonts w:ascii="Arial" w:eastAsia="Calibri" w:hAnsi="Arial" w:cs="Arial"/>
          <w:lang w:val="en-ZA"/>
        </w:rPr>
      </w:pPr>
    </w:p>
    <w:p w:rsidR="00FB0C3A" w:rsidRDefault="00FB0C3A" w:rsidP="00FB0C3A">
      <w:pPr>
        <w:rPr>
          <w:b/>
        </w:rPr>
      </w:pPr>
    </w:p>
    <w:p w:rsidR="00247485" w:rsidRDefault="00247485" w:rsidP="00FB0C3A">
      <w:pPr>
        <w:rPr>
          <w:b/>
        </w:rPr>
      </w:pPr>
    </w:p>
    <w:p w:rsidR="00DF26F7" w:rsidRDefault="00DF26F7" w:rsidP="006B47D6">
      <w:pPr>
        <w:ind w:left="1710" w:hanging="540"/>
        <w:jc w:val="both"/>
        <w:rPr>
          <w:rFonts w:ascii="Arial" w:hAnsi="Arial" w:cs="Arial"/>
        </w:rPr>
      </w:pPr>
    </w:p>
    <w:p w:rsidR="00960C9A" w:rsidRDefault="00960C9A" w:rsidP="006B47D6">
      <w:pPr>
        <w:ind w:left="1710" w:hanging="540"/>
        <w:jc w:val="both"/>
        <w:rPr>
          <w:rFonts w:ascii="Arial" w:hAnsi="Arial" w:cs="Arial"/>
        </w:rPr>
      </w:pPr>
    </w:p>
    <w:p w:rsidR="00960C9A" w:rsidRDefault="00960C9A" w:rsidP="006B47D6">
      <w:pPr>
        <w:ind w:left="1710" w:hanging="540"/>
        <w:jc w:val="both"/>
        <w:rPr>
          <w:rFonts w:ascii="Arial" w:hAnsi="Arial" w:cs="Arial"/>
        </w:rPr>
      </w:pPr>
    </w:p>
    <w:p w:rsidR="00960C9A" w:rsidRDefault="00960C9A" w:rsidP="006B47D6">
      <w:pPr>
        <w:ind w:left="1710" w:hanging="540"/>
        <w:jc w:val="both"/>
        <w:rPr>
          <w:rFonts w:ascii="Arial" w:hAnsi="Arial" w:cs="Arial"/>
        </w:rPr>
      </w:pPr>
    </w:p>
    <w:p w:rsidR="00960C9A" w:rsidRDefault="00960C9A" w:rsidP="006B47D6">
      <w:pPr>
        <w:ind w:left="1710" w:hanging="540"/>
        <w:jc w:val="both"/>
        <w:rPr>
          <w:rFonts w:ascii="Arial" w:hAnsi="Arial" w:cs="Arial"/>
        </w:rPr>
      </w:pPr>
    </w:p>
    <w:p w:rsidR="00960C9A" w:rsidRDefault="00960C9A" w:rsidP="006B47D6">
      <w:pPr>
        <w:ind w:left="1710" w:hanging="540"/>
        <w:jc w:val="both"/>
        <w:rPr>
          <w:rFonts w:ascii="Arial" w:hAnsi="Arial" w:cs="Arial"/>
        </w:rPr>
      </w:pPr>
    </w:p>
    <w:p w:rsidR="00960C9A" w:rsidRDefault="00960C9A" w:rsidP="006B47D6">
      <w:pPr>
        <w:ind w:left="1710" w:hanging="540"/>
        <w:jc w:val="both"/>
        <w:rPr>
          <w:rFonts w:ascii="Arial" w:hAnsi="Arial" w:cs="Arial"/>
        </w:rPr>
      </w:pPr>
    </w:p>
    <w:p w:rsidR="00960C9A" w:rsidRDefault="00960C9A" w:rsidP="00960C9A">
      <w:pPr>
        <w:rPr>
          <w:b/>
        </w:rPr>
      </w:pPr>
    </w:p>
    <w:p w:rsidR="002630CE" w:rsidRDefault="002630CE" w:rsidP="00AB1A4E">
      <w:pPr>
        <w:jc w:val="both"/>
        <w:rPr>
          <w:rFonts w:ascii="Arial" w:hAnsi="Arial" w:cs="Arial"/>
        </w:rPr>
      </w:pPr>
    </w:p>
    <w:p w:rsidR="00AB1A4E" w:rsidRDefault="00AB1A4E" w:rsidP="006B47D6">
      <w:pPr>
        <w:ind w:left="1710" w:hanging="540"/>
        <w:jc w:val="both"/>
        <w:rPr>
          <w:rFonts w:ascii="Arial" w:hAnsi="Arial" w:cs="Arial"/>
        </w:rPr>
      </w:pPr>
    </w:p>
    <w:p w:rsidR="00AB1A4E" w:rsidRDefault="00AB1A4E" w:rsidP="006B47D6">
      <w:pPr>
        <w:ind w:left="1710" w:hanging="540"/>
        <w:jc w:val="both"/>
        <w:rPr>
          <w:rFonts w:ascii="Arial" w:hAnsi="Arial" w:cs="Arial"/>
        </w:rPr>
      </w:pPr>
    </w:p>
    <w:p w:rsidR="00AB1A4E" w:rsidRDefault="00AB1A4E" w:rsidP="00AB1A4E">
      <w:pPr>
        <w:spacing w:line="360" w:lineRule="auto"/>
        <w:ind w:left="709" w:hanging="709"/>
        <w:jc w:val="both"/>
        <w:rPr>
          <w:rFonts w:ascii="Arial" w:eastAsia="Calibri" w:hAnsi="Arial" w:cs="Arial"/>
          <w:lang w:val="en-ZA"/>
        </w:rPr>
      </w:pPr>
      <w:r w:rsidRPr="008517F7">
        <w:rPr>
          <w:rFonts w:ascii="Arial" w:eastAsia="Calibri" w:hAnsi="Arial" w:cs="Arial"/>
          <w:lang w:val="en-ZA"/>
        </w:rPr>
        <w:t>(2)</w:t>
      </w:r>
      <w:r w:rsidRPr="008517F7">
        <w:rPr>
          <w:rFonts w:ascii="Arial" w:eastAsia="Calibri" w:hAnsi="Arial" w:cs="Arial"/>
          <w:lang w:val="en-ZA"/>
        </w:rPr>
        <w:tab/>
        <w:t xml:space="preserve">whether any mechanisms have been put in place by her department to monitor the implementation of </w:t>
      </w:r>
      <w:r w:rsidRPr="00A7633A">
        <w:rPr>
          <w:rFonts w:ascii="Arial" w:eastAsia="Calibri" w:hAnsi="Arial" w:cs="Arial"/>
          <w:lang w:val="en-ZA"/>
        </w:rPr>
        <w:t>the</w:t>
      </w:r>
      <w:r w:rsidRPr="008517F7">
        <w:rPr>
          <w:rFonts w:ascii="Arial" w:eastAsia="Calibri" w:hAnsi="Arial" w:cs="Arial"/>
          <w:lang w:val="en-ZA"/>
        </w:rPr>
        <w:t xml:space="preserve"> requirement that traditional councils’ financial statements need to be audited; if not, why not; if so, what are the relevant details;</w:t>
      </w:r>
    </w:p>
    <w:p w:rsidR="00D21D2E" w:rsidRDefault="00D21D2E" w:rsidP="006B47D6">
      <w:pPr>
        <w:ind w:left="1710" w:hanging="540"/>
        <w:jc w:val="both"/>
        <w:rPr>
          <w:rFonts w:ascii="Arial" w:hAnsi="Arial" w:cs="Arial"/>
        </w:rPr>
      </w:pPr>
    </w:p>
    <w:p w:rsidR="00D21D2E" w:rsidRPr="00161775" w:rsidRDefault="00D21D2E" w:rsidP="00161775">
      <w:pPr>
        <w:ind w:left="284"/>
        <w:jc w:val="both"/>
      </w:pPr>
    </w:p>
    <w:p w:rsidR="00AB1A4E" w:rsidRDefault="00A74242" w:rsidP="00AB1A4E">
      <w:pPr>
        <w:spacing w:after="160" w:line="360" w:lineRule="auto"/>
        <w:ind w:left="709"/>
        <w:jc w:val="both"/>
        <w:rPr>
          <w:rFonts w:ascii="Arial" w:eastAsia="Calibri" w:hAnsi="Arial" w:cs="Arial"/>
        </w:rPr>
      </w:pPr>
      <w:r>
        <w:rPr>
          <w:rFonts w:ascii="Arial" w:eastAsia="Calibri" w:hAnsi="Arial" w:cs="Arial"/>
        </w:rPr>
        <w:t>Currently the Department does not have a formal mechanism to monitor the auditing of financial statements in traditional councils.</w:t>
      </w:r>
      <w:r w:rsidR="00AB1A4E">
        <w:rPr>
          <w:rFonts w:ascii="Arial" w:eastAsia="Calibri" w:hAnsi="Arial" w:cs="Arial"/>
        </w:rPr>
        <w:t xml:space="preserve"> </w:t>
      </w:r>
      <w:r>
        <w:rPr>
          <w:rFonts w:ascii="Arial" w:eastAsia="Calibri" w:hAnsi="Arial" w:cs="Arial"/>
        </w:rPr>
        <w:t>E</w:t>
      </w:r>
      <w:r w:rsidR="0090097E">
        <w:rPr>
          <w:rFonts w:ascii="Arial" w:eastAsia="Calibri" w:hAnsi="Arial" w:cs="Arial"/>
        </w:rPr>
        <w:t xml:space="preserve">ngagements with Provinces and the Auditor General revealed challenges of </w:t>
      </w:r>
      <w:r w:rsidR="00AB1A4E">
        <w:rPr>
          <w:rFonts w:ascii="Arial" w:eastAsia="Calibri" w:hAnsi="Arial" w:cs="Arial"/>
        </w:rPr>
        <w:t xml:space="preserve">the possible </w:t>
      </w:r>
      <w:r>
        <w:rPr>
          <w:rFonts w:ascii="Arial" w:eastAsia="Calibri" w:hAnsi="Arial" w:cs="Arial"/>
        </w:rPr>
        <w:t xml:space="preserve">costs </w:t>
      </w:r>
      <w:r w:rsidR="0090097E">
        <w:rPr>
          <w:rFonts w:ascii="Arial" w:eastAsia="Calibri" w:hAnsi="Arial" w:cs="Arial"/>
        </w:rPr>
        <w:t>o</w:t>
      </w:r>
      <w:r>
        <w:rPr>
          <w:rFonts w:ascii="Arial" w:eastAsia="Calibri" w:hAnsi="Arial" w:cs="Arial"/>
        </w:rPr>
        <w:t>f</w:t>
      </w:r>
      <w:r w:rsidR="0090097E">
        <w:rPr>
          <w:rFonts w:ascii="Arial" w:eastAsia="Calibri" w:hAnsi="Arial" w:cs="Arial"/>
        </w:rPr>
        <w:t xml:space="preserve"> </w:t>
      </w:r>
      <w:r w:rsidR="00244E2C">
        <w:rPr>
          <w:rFonts w:ascii="Arial" w:eastAsia="Calibri" w:hAnsi="Arial" w:cs="Arial"/>
        </w:rPr>
        <w:t>auditing the</w:t>
      </w:r>
      <w:r w:rsidR="0090097E">
        <w:rPr>
          <w:rFonts w:ascii="Arial" w:eastAsia="Calibri" w:hAnsi="Arial" w:cs="Arial"/>
        </w:rPr>
        <w:t xml:space="preserve"> accounts of traditional councils</w:t>
      </w:r>
      <w:r w:rsidR="00AB1A4E">
        <w:rPr>
          <w:rFonts w:ascii="Arial" w:eastAsia="Calibri" w:hAnsi="Arial" w:cs="Arial"/>
        </w:rPr>
        <w:t xml:space="preserve"> given that most councils manage </w:t>
      </w:r>
      <w:r w:rsidR="00244E2C">
        <w:rPr>
          <w:rFonts w:ascii="Arial" w:eastAsia="Calibri" w:hAnsi="Arial" w:cs="Arial"/>
        </w:rPr>
        <w:t>fairly small</w:t>
      </w:r>
      <w:r w:rsidR="00AB1A4E">
        <w:rPr>
          <w:rFonts w:ascii="Arial" w:eastAsia="Calibri" w:hAnsi="Arial" w:cs="Arial"/>
        </w:rPr>
        <w:t xml:space="preserve"> amounts of money. In addition</w:t>
      </w:r>
      <w:r w:rsidR="00244E2C">
        <w:rPr>
          <w:rFonts w:ascii="Arial" w:eastAsia="Calibri" w:hAnsi="Arial" w:cs="Arial"/>
        </w:rPr>
        <w:t>, a concern was</w:t>
      </w:r>
      <w:r w:rsidR="00AB1A4E">
        <w:rPr>
          <w:rFonts w:ascii="Arial" w:eastAsia="Calibri" w:hAnsi="Arial" w:cs="Arial"/>
        </w:rPr>
        <w:t xml:space="preserve"> raised about a lack of a clear Accounting Convention Framework for traditional councils.</w:t>
      </w:r>
    </w:p>
    <w:p w:rsidR="00244E2C" w:rsidRDefault="00244E2C" w:rsidP="00244E2C">
      <w:pPr>
        <w:spacing w:line="360" w:lineRule="auto"/>
        <w:ind w:left="709"/>
        <w:jc w:val="both"/>
        <w:rPr>
          <w:rFonts w:ascii="Arial" w:eastAsia="Calibri" w:hAnsi="Arial" w:cs="Arial"/>
        </w:rPr>
      </w:pPr>
    </w:p>
    <w:p w:rsidR="00244E2C" w:rsidRDefault="00244E2C" w:rsidP="00244E2C">
      <w:pPr>
        <w:spacing w:line="360" w:lineRule="auto"/>
        <w:ind w:left="709" w:hanging="709"/>
        <w:rPr>
          <w:b/>
        </w:rPr>
      </w:pPr>
      <w:r w:rsidRPr="008517F7">
        <w:rPr>
          <w:rFonts w:ascii="Arial" w:eastAsia="Calibri" w:hAnsi="Arial" w:cs="Arial"/>
          <w:lang w:val="en-ZA"/>
        </w:rPr>
        <w:t>(3)</w:t>
      </w:r>
      <w:r w:rsidRPr="008517F7">
        <w:rPr>
          <w:rFonts w:ascii="Arial" w:eastAsia="Calibri" w:hAnsi="Arial" w:cs="Arial"/>
          <w:lang w:val="en-ZA"/>
        </w:rPr>
        <w:tab/>
        <w:t xml:space="preserve">what steps has her </w:t>
      </w:r>
      <w:r w:rsidRPr="00A7633A">
        <w:rPr>
          <w:rFonts w:ascii="Arial" w:eastAsia="Calibri" w:hAnsi="Arial" w:cs="Arial"/>
          <w:lang w:val="en-ZA"/>
        </w:rPr>
        <w:t>department</w:t>
      </w:r>
      <w:r w:rsidRPr="008517F7">
        <w:rPr>
          <w:rFonts w:ascii="Arial" w:eastAsia="Calibri" w:hAnsi="Arial" w:cs="Arial"/>
          <w:lang w:val="en-ZA"/>
        </w:rPr>
        <w:t xml:space="preserve"> taken to ensure compliance with the requirement that traditional council financial statements be audited</w:t>
      </w:r>
      <w:r w:rsidRPr="00A7633A">
        <w:rPr>
          <w:rFonts w:ascii="Arial" w:eastAsia="Calibri" w:hAnsi="Arial" w:cs="Arial"/>
          <w:lang w:val="en-ZA"/>
        </w:rPr>
        <w:t>?</w:t>
      </w:r>
    </w:p>
    <w:p w:rsidR="00AB1A4E" w:rsidRDefault="00AB1A4E" w:rsidP="00247485">
      <w:pPr>
        <w:spacing w:after="160" w:line="360" w:lineRule="auto"/>
        <w:jc w:val="both"/>
        <w:rPr>
          <w:rFonts w:ascii="Arial" w:eastAsia="Calibri" w:hAnsi="Arial" w:cs="Arial"/>
        </w:rPr>
      </w:pPr>
    </w:p>
    <w:p w:rsidR="003276E0" w:rsidRDefault="00AB1A4E" w:rsidP="00244E2C">
      <w:pPr>
        <w:spacing w:after="160" w:line="360" w:lineRule="auto"/>
        <w:ind w:left="709"/>
        <w:jc w:val="both"/>
        <w:rPr>
          <w:rFonts w:ascii="Arial" w:eastAsia="Calibri" w:hAnsi="Arial" w:cs="Arial"/>
        </w:rPr>
      </w:pPr>
      <w:r>
        <w:rPr>
          <w:rFonts w:ascii="Arial" w:eastAsia="Calibri" w:hAnsi="Arial" w:cs="Arial"/>
        </w:rPr>
        <w:t>T</w:t>
      </w:r>
      <w:r w:rsidR="003276E0">
        <w:rPr>
          <w:rFonts w:ascii="Arial" w:eastAsia="Calibri" w:hAnsi="Arial" w:cs="Arial"/>
        </w:rPr>
        <w:t xml:space="preserve">he Department has introduced a quarterly reporting system at which Provincial Departments of Traditional Affairs are required to report quarterly on traditional affairs matters. A formal structure called the Traditional Affairs Technical Governance Forum (TATGoF) has been established and meets regularly to process the reports referred to. The reporting framework will be revised to include the auditing of accounts of traditional councils. </w:t>
      </w:r>
    </w:p>
    <w:p w:rsidR="00244E2C" w:rsidRDefault="00244E2C" w:rsidP="00244E2C">
      <w:pPr>
        <w:spacing w:after="160" w:line="360" w:lineRule="auto"/>
        <w:ind w:left="709"/>
        <w:jc w:val="both"/>
        <w:rPr>
          <w:rFonts w:ascii="Arial" w:eastAsia="Calibri" w:hAnsi="Arial" w:cs="Arial"/>
        </w:rPr>
      </w:pPr>
    </w:p>
    <w:p w:rsidR="008E36F4" w:rsidRPr="008E36F4" w:rsidRDefault="003276E0" w:rsidP="00244E2C">
      <w:pPr>
        <w:spacing w:after="160" w:line="360" w:lineRule="auto"/>
        <w:ind w:left="709"/>
        <w:jc w:val="both"/>
        <w:rPr>
          <w:rFonts w:ascii="Arial" w:eastAsia="Calibri" w:hAnsi="Arial" w:cs="Arial"/>
        </w:rPr>
      </w:pPr>
      <w:r>
        <w:rPr>
          <w:rFonts w:ascii="Arial" w:eastAsia="Calibri" w:hAnsi="Arial" w:cs="Arial"/>
        </w:rPr>
        <w:t>In addi</w:t>
      </w:r>
      <w:r w:rsidR="0090097E">
        <w:rPr>
          <w:rFonts w:ascii="Arial" w:eastAsia="Calibri" w:hAnsi="Arial" w:cs="Arial"/>
        </w:rPr>
        <w:t>tion, the Department of Traditional Affairs is investigating the feasibility of developing an</w:t>
      </w:r>
      <w:r w:rsidR="008E36F4" w:rsidRPr="008E36F4">
        <w:rPr>
          <w:rFonts w:ascii="Arial" w:eastAsia="Calibri" w:hAnsi="Arial" w:cs="Arial"/>
        </w:rPr>
        <w:t xml:space="preserve"> Accounting Convention Framework for structures of traditional leadership</w:t>
      </w:r>
      <w:r w:rsidR="0090097E">
        <w:rPr>
          <w:rFonts w:ascii="Arial" w:eastAsia="Calibri" w:hAnsi="Arial" w:cs="Arial"/>
        </w:rPr>
        <w:t xml:space="preserve"> and once this exercise is complete, it would provide a guide on how to proceed with this matter. </w:t>
      </w:r>
    </w:p>
    <w:p w:rsidR="00E21590" w:rsidRPr="007E7A7D" w:rsidRDefault="007E7A7D" w:rsidP="00960C9A">
      <w:pPr>
        <w:spacing w:line="360" w:lineRule="auto"/>
        <w:jc w:val="both"/>
        <w:rPr>
          <w:rFonts w:ascii="Arial" w:hAnsi="Arial" w:cs="Arial"/>
          <w:b/>
          <w:sz w:val="20"/>
          <w:szCs w:val="20"/>
        </w:rPr>
      </w:pPr>
      <w:r w:rsidRPr="007E7A7D">
        <w:rPr>
          <w:rFonts w:ascii="Arial" w:hAnsi="Arial" w:cs="Arial"/>
          <w:b/>
        </w:rPr>
        <w:t>Ends</w:t>
      </w:r>
    </w:p>
    <w:sectPr w:rsidR="00E21590" w:rsidRPr="007E7A7D" w:rsidSect="00E15AFF">
      <w:pgSz w:w="12240" w:h="15840"/>
      <w:pgMar w:top="900" w:right="1440" w:bottom="36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56B" w:rsidRDefault="00DC156B">
      <w:r>
        <w:separator/>
      </w:r>
    </w:p>
  </w:endnote>
  <w:endnote w:type="continuationSeparator" w:id="0">
    <w:p w:rsidR="00DC156B" w:rsidRDefault="00DC1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56B" w:rsidRDefault="00DC156B">
      <w:r>
        <w:separator/>
      </w:r>
    </w:p>
  </w:footnote>
  <w:footnote w:type="continuationSeparator" w:id="0">
    <w:p w:rsidR="00DC156B" w:rsidRDefault="00DC1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A1F4F"/>
    <w:multiLevelType w:val="hybridMultilevel"/>
    <w:tmpl w:val="8C761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46C4044"/>
    <w:multiLevelType w:val="hybridMultilevel"/>
    <w:tmpl w:val="685E3CC8"/>
    <w:lvl w:ilvl="0" w:tplc="1B1E9AB8">
      <w:start w:val="1"/>
      <w:numFmt w:val="decimal"/>
      <w:lvlText w:val="(%1)"/>
      <w:lvlJc w:val="left"/>
      <w:pPr>
        <w:ind w:left="1166" w:hanging="360"/>
      </w:pPr>
      <w:rPr>
        <w:rFonts w:ascii="Arial" w:hAnsi="Arial" w:cs="Arial"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B4E724C"/>
    <w:multiLevelType w:val="hybridMultilevel"/>
    <w:tmpl w:val="C5748E0C"/>
    <w:lvl w:ilvl="0" w:tplc="0EF0766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0E063DA8"/>
    <w:multiLevelType w:val="hybridMultilevel"/>
    <w:tmpl w:val="AFA6E4C2"/>
    <w:lvl w:ilvl="0" w:tplc="A27AABFC">
      <w:start w:val="1"/>
      <w:numFmt w:val="decimal"/>
      <w:lvlText w:val="(%1)"/>
      <w:lvlJc w:val="left"/>
      <w:pPr>
        <w:ind w:left="1080" w:hanging="360"/>
      </w:pPr>
      <w:rPr>
        <w:rFonts w:ascii="Arial" w:eastAsia="Calibri"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20202A8"/>
    <w:multiLevelType w:val="hybridMultilevel"/>
    <w:tmpl w:val="ABB829E8"/>
    <w:lvl w:ilvl="0" w:tplc="0C1E19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15FE575E"/>
    <w:multiLevelType w:val="hybridMultilevel"/>
    <w:tmpl w:val="0EE23714"/>
    <w:lvl w:ilvl="0" w:tplc="1C09000B">
      <w:start w:val="1"/>
      <w:numFmt w:val="bullet"/>
      <w:lvlText w:val=""/>
      <w:lvlJc w:val="left"/>
      <w:pPr>
        <w:ind w:left="720" w:hanging="360"/>
      </w:pPr>
      <w:rPr>
        <w:rFonts w:ascii="Wingdings" w:hAnsi="Wingdings" w:hint="default"/>
      </w:rPr>
    </w:lvl>
    <w:lvl w:ilvl="1" w:tplc="1C09001B">
      <w:start w:val="1"/>
      <w:numFmt w:val="lowerRoman"/>
      <w:lvlText w:val="%2."/>
      <w:lvlJc w:val="righ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60B6362"/>
    <w:multiLevelType w:val="hybridMultilevel"/>
    <w:tmpl w:val="AF40965A"/>
    <w:lvl w:ilvl="0" w:tplc="A232F66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1A8F10FF"/>
    <w:multiLevelType w:val="hybridMultilevel"/>
    <w:tmpl w:val="94C6FE84"/>
    <w:lvl w:ilvl="0" w:tplc="BF022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3C0341"/>
    <w:multiLevelType w:val="hybridMultilevel"/>
    <w:tmpl w:val="7EBEE0D6"/>
    <w:lvl w:ilvl="0" w:tplc="83000A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20436908"/>
    <w:multiLevelType w:val="hybridMultilevel"/>
    <w:tmpl w:val="AF40965A"/>
    <w:lvl w:ilvl="0" w:tplc="A232F66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11A6279"/>
    <w:multiLevelType w:val="hybridMultilevel"/>
    <w:tmpl w:val="AF40965A"/>
    <w:lvl w:ilvl="0" w:tplc="A232F66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2261124"/>
    <w:multiLevelType w:val="hybridMultilevel"/>
    <w:tmpl w:val="1C14815E"/>
    <w:lvl w:ilvl="0" w:tplc="CA96555C">
      <w:start w:val="2"/>
      <w:numFmt w:val="bullet"/>
      <w:lvlText w:val="-"/>
      <w:lvlJc w:val="left"/>
      <w:pPr>
        <w:ind w:left="543" w:hanging="360"/>
      </w:pPr>
      <w:rPr>
        <w:rFonts w:ascii="Calibri" w:eastAsia="Calibri" w:hAnsi="Calibri" w:cs="Calibri"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21">
    <w:nsid w:val="33A91562"/>
    <w:multiLevelType w:val="hybridMultilevel"/>
    <w:tmpl w:val="3FBEBB18"/>
    <w:lvl w:ilvl="0" w:tplc="01101DCC">
      <w:start w:val="1"/>
      <w:numFmt w:val="decimal"/>
      <w:lvlText w:val="(%1)"/>
      <w:lvlJc w:val="left"/>
      <w:pPr>
        <w:ind w:left="1440" w:hanging="72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41A235F8"/>
    <w:multiLevelType w:val="hybridMultilevel"/>
    <w:tmpl w:val="DF30CCB8"/>
    <w:lvl w:ilvl="0" w:tplc="DDE07CB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7CB7D3F"/>
    <w:multiLevelType w:val="hybridMultilevel"/>
    <w:tmpl w:val="EF5E6D1E"/>
    <w:lvl w:ilvl="0" w:tplc="E03614B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907EA0"/>
    <w:multiLevelType w:val="hybridMultilevel"/>
    <w:tmpl w:val="89945ADA"/>
    <w:lvl w:ilvl="0" w:tplc="D7D256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4142A49"/>
    <w:multiLevelType w:val="hybridMultilevel"/>
    <w:tmpl w:val="B524B028"/>
    <w:lvl w:ilvl="0" w:tplc="A232F6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8535EDB"/>
    <w:multiLevelType w:val="hybridMultilevel"/>
    <w:tmpl w:val="7C9C1072"/>
    <w:lvl w:ilvl="0" w:tplc="E4C6289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900546B"/>
    <w:multiLevelType w:val="hybridMultilevel"/>
    <w:tmpl w:val="AFD292C2"/>
    <w:lvl w:ilvl="0" w:tplc="DDD4CB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FD322AA"/>
    <w:multiLevelType w:val="hybridMultilevel"/>
    <w:tmpl w:val="C554D078"/>
    <w:lvl w:ilvl="0" w:tplc="A232F6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7"/>
  </w:num>
  <w:num w:numId="3">
    <w:abstractNumId w:val="22"/>
  </w:num>
  <w:num w:numId="4">
    <w:abstractNumId w:val="17"/>
  </w:num>
  <w:num w:numId="5">
    <w:abstractNumId w:val="14"/>
  </w:num>
  <w:num w:numId="6">
    <w:abstractNumId w:val="28"/>
  </w:num>
  <w:num w:numId="7">
    <w:abstractNumId w:val="4"/>
  </w:num>
  <w:num w:numId="8">
    <w:abstractNumId w:val="3"/>
  </w:num>
  <w:num w:numId="9">
    <w:abstractNumId w:val="25"/>
  </w:num>
  <w:num w:numId="10">
    <w:abstractNumId w:val="11"/>
  </w:num>
  <w:num w:numId="11">
    <w:abstractNumId w:val="6"/>
  </w:num>
  <w:num w:numId="12">
    <w:abstractNumId w:val="0"/>
  </w:num>
  <w:num w:numId="13">
    <w:abstractNumId w:val="21"/>
  </w:num>
  <w:num w:numId="14">
    <w:abstractNumId w:val="1"/>
  </w:num>
  <w:num w:numId="15">
    <w:abstractNumId w:val="15"/>
  </w:num>
  <w:num w:numId="16">
    <w:abstractNumId w:val="5"/>
  </w:num>
  <w:num w:numId="17">
    <w:abstractNumId w:val="12"/>
  </w:num>
  <w:num w:numId="18">
    <w:abstractNumId w:val="8"/>
  </w:num>
  <w:num w:numId="19">
    <w:abstractNumId w:val="10"/>
  </w:num>
  <w:num w:numId="20">
    <w:abstractNumId w:val="29"/>
  </w:num>
  <w:num w:numId="21">
    <w:abstractNumId w:val="13"/>
  </w:num>
  <w:num w:numId="22">
    <w:abstractNumId w:val="26"/>
  </w:num>
  <w:num w:numId="23">
    <w:abstractNumId w:val="16"/>
  </w:num>
  <w:num w:numId="24">
    <w:abstractNumId w:val="23"/>
  </w:num>
  <w:num w:numId="25">
    <w:abstractNumId w:val="30"/>
  </w:num>
  <w:num w:numId="26">
    <w:abstractNumId w:val="20"/>
  </w:num>
  <w:num w:numId="27">
    <w:abstractNumId w:val="24"/>
  </w:num>
  <w:num w:numId="28">
    <w:abstractNumId w:val="19"/>
  </w:num>
  <w:num w:numId="29">
    <w:abstractNumId w:val="31"/>
  </w:num>
  <w:num w:numId="30">
    <w:abstractNumId w:val="27"/>
  </w:num>
  <w:num w:numId="31">
    <w:abstractNumId w:val="18"/>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78C3"/>
    <w:rsid w:val="000123F1"/>
    <w:rsid w:val="00013E3A"/>
    <w:rsid w:val="00014B05"/>
    <w:rsid w:val="00017071"/>
    <w:rsid w:val="00020887"/>
    <w:rsid w:val="000266F7"/>
    <w:rsid w:val="00043FE1"/>
    <w:rsid w:val="00053DD6"/>
    <w:rsid w:val="000571E7"/>
    <w:rsid w:val="00063015"/>
    <w:rsid w:val="00067936"/>
    <w:rsid w:val="00071841"/>
    <w:rsid w:val="000876FC"/>
    <w:rsid w:val="000954AC"/>
    <w:rsid w:val="00096A17"/>
    <w:rsid w:val="000B086E"/>
    <w:rsid w:val="000C2F09"/>
    <w:rsid w:val="000D2C53"/>
    <w:rsid w:val="000D4AA5"/>
    <w:rsid w:val="000D7B2F"/>
    <w:rsid w:val="000F6178"/>
    <w:rsid w:val="000F61E2"/>
    <w:rsid w:val="00100492"/>
    <w:rsid w:val="001042D3"/>
    <w:rsid w:val="001314FC"/>
    <w:rsid w:val="001561B3"/>
    <w:rsid w:val="00156E9A"/>
    <w:rsid w:val="00161775"/>
    <w:rsid w:val="001618A3"/>
    <w:rsid w:val="00161FA6"/>
    <w:rsid w:val="001659E9"/>
    <w:rsid w:val="00170861"/>
    <w:rsid w:val="00173C60"/>
    <w:rsid w:val="00181508"/>
    <w:rsid w:val="001A148F"/>
    <w:rsid w:val="001A6726"/>
    <w:rsid w:val="001A7BC8"/>
    <w:rsid w:val="001B0522"/>
    <w:rsid w:val="001B0C9C"/>
    <w:rsid w:val="001C54C7"/>
    <w:rsid w:val="001D6ADE"/>
    <w:rsid w:val="001E5C67"/>
    <w:rsid w:val="001E69BF"/>
    <w:rsid w:val="001E719B"/>
    <w:rsid w:val="001F05C4"/>
    <w:rsid w:val="001F4C80"/>
    <w:rsid w:val="0020146A"/>
    <w:rsid w:val="0021288B"/>
    <w:rsid w:val="002133D5"/>
    <w:rsid w:val="00233908"/>
    <w:rsid w:val="00235B3B"/>
    <w:rsid w:val="00244E2C"/>
    <w:rsid w:val="00246B8B"/>
    <w:rsid w:val="00247292"/>
    <w:rsid w:val="00247485"/>
    <w:rsid w:val="002576DD"/>
    <w:rsid w:val="002630CE"/>
    <w:rsid w:val="002637CC"/>
    <w:rsid w:val="002712AB"/>
    <w:rsid w:val="00272D72"/>
    <w:rsid w:val="00280CFE"/>
    <w:rsid w:val="002816D5"/>
    <w:rsid w:val="002849B3"/>
    <w:rsid w:val="002949F2"/>
    <w:rsid w:val="00297AB5"/>
    <w:rsid w:val="002A645A"/>
    <w:rsid w:val="002B2990"/>
    <w:rsid w:val="002C4244"/>
    <w:rsid w:val="002C5792"/>
    <w:rsid w:val="002D1E35"/>
    <w:rsid w:val="002D5224"/>
    <w:rsid w:val="002D6769"/>
    <w:rsid w:val="002D6EFA"/>
    <w:rsid w:val="002D7AA6"/>
    <w:rsid w:val="002D7AF2"/>
    <w:rsid w:val="002F42F4"/>
    <w:rsid w:val="002F5E82"/>
    <w:rsid w:val="0031080D"/>
    <w:rsid w:val="00314E06"/>
    <w:rsid w:val="0031617F"/>
    <w:rsid w:val="00323310"/>
    <w:rsid w:val="003276E0"/>
    <w:rsid w:val="003309EB"/>
    <w:rsid w:val="0033157B"/>
    <w:rsid w:val="003334B9"/>
    <w:rsid w:val="0033439C"/>
    <w:rsid w:val="00342123"/>
    <w:rsid w:val="00346FBC"/>
    <w:rsid w:val="00357A0E"/>
    <w:rsid w:val="00357BF2"/>
    <w:rsid w:val="00367063"/>
    <w:rsid w:val="00382DA0"/>
    <w:rsid w:val="0038379E"/>
    <w:rsid w:val="00393A96"/>
    <w:rsid w:val="003A0776"/>
    <w:rsid w:val="003A0DE9"/>
    <w:rsid w:val="003A102D"/>
    <w:rsid w:val="003D06A3"/>
    <w:rsid w:val="003D2F8E"/>
    <w:rsid w:val="003D464D"/>
    <w:rsid w:val="003D47D8"/>
    <w:rsid w:val="0040096A"/>
    <w:rsid w:val="0040377F"/>
    <w:rsid w:val="00412EF1"/>
    <w:rsid w:val="004325C6"/>
    <w:rsid w:val="00442DA1"/>
    <w:rsid w:val="0044612E"/>
    <w:rsid w:val="004601ED"/>
    <w:rsid w:val="004618DC"/>
    <w:rsid w:val="004636B7"/>
    <w:rsid w:val="004655ED"/>
    <w:rsid w:val="0047684E"/>
    <w:rsid w:val="004779EE"/>
    <w:rsid w:val="00491AB9"/>
    <w:rsid w:val="004945EC"/>
    <w:rsid w:val="0049779D"/>
    <w:rsid w:val="004A4BC7"/>
    <w:rsid w:val="004A4C5A"/>
    <w:rsid w:val="004B2C14"/>
    <w:rsid w:val="004B3905"/>
    <w:rsid w:val="004B5A08"/>
    <w:rsid w:val="004B702D"/>
    <w:rsid w:val="004C0040"/>
    <w:rsid w:val="004C109A"/>
    <w:rsid w:val="004D2ABF"/>
    <w:rsid w:val="004E52FE"/>
    <w:rsid w:val="004F2AB7"/>
    <w:rsid w:val="004F5E23"/>
    <w:rsid w:val="0050428A"/>
    <w:rsid w:val="00511169"/>
    <w:rsid w:val="0051667A"/>
    <w:rsid w:val="00517C8A"/>
    <w:rsid w:val="005229E8"/>
    <w:rsid w:val="0053047F"/>
    <w:rsid w:val="005423FF"/>
    <w:rsid w:val="00542AD1"/>
    <w:rsid w:val="0054419A"/>
    <w:rsid w:val="005536E6"/>
    <w:rsid w:val="00554871"/>
    <w:rsid w:val="0055600E"/>
    <w:rsid w:val="00567326"/>
    <w:rsid w:val="00577DCA"/>
    <w:rsid w:val="005845A8"/>
    <w:rsid w:val="00594824"/>
    <w:rsid w:val="005963C5"/>
    <w:rsid w:val="005A0136"/>
    <w:rsid w:val="005A1F86"/>
    <w:rsid w:val="005A2558"/>
    <w:rsid w:val="005C0190"/>
    <w:rsid w:val="005C7A4F"/>
    <w:rsid w:val="005D0762"/>
    <w:rsid w:val="005D0D35"/>
    <w:rsid w:val="005E5A5C"/>
    <w:rsid w:val="005F13AA"/>
    <w:rsid w:val="005F3286"/>
    <w:rsid w:val="005F5DB2"/>
    <w:rsid w:val="005F5EB3"/>
    <w:rsid w:val="005F60DB"/>
    <w:rsid w:val="00603705"/>
    <w:rsid w:val="00603B0F"/>
    <w:rsid w:val="006061F9"/>
    <w:rsid w:val="00607A88"/>
    <w:rsid w:val="00631AA1"/>
    <w:rsid w:val="00647241"/>
    <w:rsid w:val="00647ED0"/>
    <w:rsid w:val="0065534B"/>
    <w:rsid w:val="0066291D"/>
    <w:rsid w:val="00663A1B"/>
    <w:rsid w:val="0067311A"/>
    <w:rsid w:val="0067399D"/>
    <w:rsid w:val="00676F62"/>
    <w:rsid w:val="00691CE7"/>
    <w:rsid w:val="00692A75"/>
    <w:rsid w:val="006A4D60"/>
    <w:rsid w:val="006B04EE"/>
    <w:rsid w:val="006B06EF"/>
    <w:rsid w:val="006B47D6"/>
    <w:rsid w:val="006D3C21"/>
    <w:rsid w:val="006D5BC7"/>
    <w:rsid w:val="006D7583"/>
    <w:rsid w:val="006F0EE4"/>
    <w:rsid w:val="006F7C9D"/>
    <w:rsid w:val="007031D8"/>
    <w:rsid w:val="00724A26"/>
    <w:rsid w:val="007261E1"/>
    <w:rsid w:val="00731AB6"/>
    <w:rsid w:val="007366CB"/>
    <w:rsid w:val="007378F9"/>
    <w:rsid w:val="00740BF6"/>
    <w:rsid w:val="00750E17"/>
    <w:rsid w:val="00761734"/>
    <w:rsid w:val="00765941"/>
    <w:rsid w:val="007670C4"/>
    <w:rsid w:val="00771BF4"/>
    <w:rsid w:val="00773DAC"/>
    <w:rsid w:val="00776693"/>
    <w:rsid w:val="007819BE"/>
    <w:rsid w:val="00785499"/>
    <w:rsid w:val="00786C7B"/>
    <w:rsid w:val="00787C6D"/>
    <w:rsid w:val="00796B5D"/>
    <w:rsid w:val="007A3FCD"/>
    <w:rsid w:val="007B5563"/>
    <w:rsid w:val="007B6C7E"/>
    <w:rsid w:val="007C4C47"/>
    <w:rsid w:val="007C5599"/>
    <w:rsid w:val="007D22C5"/>
    <w:rsid w:val="007D4F67"/>
    <w:rsid w:val="007D6AEE"/>
    <w:rsid w:val="007E7A7D"/>
    <w:rsid w:val="007F55E8"/>
    <w:rsid w:val="00801607"/>
    <w:rsid w:val="00803A7E"/>
    <w:rsid w:val="008275AD"/>
    <w:rsid w:val="00830D4D"/>
    <w:rsid w:val="00843814"/>
    <w:rsid w:val="00843CE8"/>
    <w:rsid w:val="008468DD"/>
    <w:rsid w:val="008517F7"/>
    <w:rsid w:val="00860D92"/>
    <w:rsid w:val="008642B9"/>
    <w:rsid w:val="008678CD"/>
    <w:rsid w:val="00874F06"/>
    <w:rsid w:val="00881D57"/>
    <w:rsid w:val="00885A05"/>
    <w:rsid w:val="008864CD"/>
    <w:rsid w:val="008A1477"/>
    <w:rsid w:val="008A150B"/>
    <w:rsid w:val="008C0E80"/>
    <w:rsid w:val="008C3233"/>
    <w:rsid w:val="008C3B42"/>
    <w:rsid w:val="008C65E0"/>
    <w:rsid w:val="008D003B"/>
    <w:rsid w:val="008D5EBF"/>
    <w:rsid w:val="008E20A1"/>
    <w:rsid w:val="008E36F4"/>
    <w:rsid w:val="008F0C1F"/>
    <w:rsid w:val="008F6740"/>
    <w:rsid w:val="008F77E0"/>
    <w:rsid w:val="0090097E"/>
    <w:rsid w:val="009068F1"/>
    <w:rsid w:val="00906EB4"/>
    <w:rsid w:val="009222FC"/>
    <w:rsid w:val="00925F7D"/>
    <w:rsid w:val="00934570"/>
    <w:rsid w:val="00935A33"/>
    <w:rsid w:val="00947249"/>
    <w:rsid w:val="009515C6"/>
    <w:rsid w:val="00954992"/>
    <w:rsid w:val="00955D50"/>
    <w:rsid w:val="00960C9A"/>
    <w:rsid w:val="00961BE6"/>
    <w:rsid w:val="00961CF5"/>
    <w:rsid w:val="00965EF5"/>
    <w:rsid w:val="00966064"/>
    <w:rsid w:val="00974D53"/>
    <w:rsid w:val="00977C5F"/>
    <w:rsid w:val="00991283"/>
    <w:rsid w:val="009B3ADB"/>
    <w:rsid w:val="009C2F40"/>
    <w:rsid w:val="009D0B58"/>
    <w:rsid w:val="009D1A54"/>
    <w:rsid w:val="009D69A1"/>
    <w:rsid w:val="00A02D47"/>
    <w:rsid w:val="00A03A37"/>
    <w:rsid w:val="00A101B9"/>
    <w:rsid w:val="00A10234"/>
    <w:rsid w:val="00A15761"/>
    <w:rsid w:val="00A15AF7"/>
    <w:rsid w:val="00A167C8"/>
    <w:rsid w:val="00A25DCF"/>
    <w:rsid w:val="00A27894"/>
    <w:rsid w:val="00A33B8B"/>
    <w:rsid w:val="00A35576"/>
    <w:rsid w:val="00A47B22"/>
    <w:rsid w:val="00A57C4F"/>
    <w:rsid w:val="00A57C7D"/>
    <w:rsid w:val="00A618A0"/>
    <w:rsid w:val="00A61FD1"/>
    <w:rsid w:val="00A71D7F"/>
    <w:rsid w:val="00A74242"/>
    <w:rsid w:val="00A7633A"/>
    <w:rsid w:val="00A84244"/>
    <w:rsid w:val="00A90F36"/>
    <w:rsid w:val="00A96E8D"/>
    <w:rsid w:val="00AA7699"/>
    <w:rsid w:val="00AB1A4E"/>
    <w:rsid w:val="00AB3185"/>
    <w:rsid w:val="00AB4440"/>
    <w:rsid w:val="00AB497E"/>
    <w:rsid w:val="00AD005C"/>
    <w:rsid w:val="00AD1310"/>
    <w:rsid w:val="00AD2E06"/>
    <w:rsid w:val="00AD607F"/>
    <w:rsid w:val="00AD717A"/>
    <w:rsid w:val="00B05343"/>
    <w:rsid w:val="00B05E06"/>
    <w:rsid w:val="00B1060B"/>
    <w:rsid w:val="00B125C0"/>
    <w:rsid w:val="00B246CC"/>
    <w:rsid w:val="00B34B48"/>
    <w:rsid w:val="00B549CD"/>
    <w:rsid w:val="00B56804"/>
    <w:rsid w:val="00B62A79"/>
    <w:rsid w:val="00B6542A"/>
    <w:rsid w:val="00B67EFD"/>
    <w:rsid w:val="00B70F7D"/>
    <w:rsid w:val="00B726EE"/>
    <w:rsid w:val="00B7292C"/>
    <w:rsid w:val="00B74788"/>
    <w:rsid w:val="00B93A81"/>
    <w:rsid w:val="00B963C6"/>
    <w:rsid w:val="00BB2846"/>
    <w:rsid w:val="00BC70D5"/>
    <w:rsid w:val="00BC7A56"/>
    <w:rsid w:val="00BE0C78"/>
    <w:rsid w:val="00BF3983"/>
    <w:rsid w:val="00C006B1"/>
    <w:rsid w:val="00C11E38"/>
    <w:rsid w:val="00C14655"/>
    <w:rsid w:val="00C260A8"/>
    <w:rsid w:val="00C303B0"/>
    <w:rsid w:val="00C311BA"/>
    <w:rsid w:val="00C33C12"/>
    <w:rsid w:val="00C563C3"/>
    <w:rsid w:val="00C71888"/>
    <w:rsid w:val="00C84DE0"/>
    <w:rsid w:val="00C938F6"/>
    <w:rsid w:val="00C93DCA"/>
    <w:rsid w:val="00C9528E"/>
    <w:rsid w:val="00CA15D7"/>
    <w:rsid w:val="00CA1A42"/>
    <w:rsid w:val="00CA1D51"/>
    <w:rsid w:val="00CA545E"/>
    <w:rsid w:val="00CB3451"/>
    <w:rsid w:val="00CD4742"/>
    <w:rsid w:val="00CD652C"/>
    <w:rsid w:val="00CD73FD"/>
    <w:rsid w:val="00CE1F98"/>
    <w:rsid w:val="00CE298E"/>
    <w:rsid w:val="00CF4AE9"/>
    <w:rsid w:val="00D00F60"/>
    <w:rsid w:val="00D05BDF"/>
    <w:rsid w:val="00D05CFD"/>
    <w:rsid w:val="00D06842"/>
    <w:rsid w:val="00D07611"/>
    <w:rsid w:val="00D21D2E"/>
    <w:rsid w:val="00D23184"/>
    <w:rsid w:val="00D240B9"/>
    <w:rsid w:val="00D2427D"/>
    <w:rsid w:val="00D319E8"/>
    <w:rsid w:val="00D339A2"/>
    <w:rsid w:val="00D342CF"/>
    <w:rsid w:val="00D36704"/>
    <w:rsid w:val="00D4159B"/>
    <w:rsid w:val="00D4293B"/>
    <w:rsid w:val="00D43C90"/>
    <w:rsid w:val="00D5219B"/>
    <w:rsid w:val="00D5755D"/>
    <w:rsid w:val="00D6554B"/>
    <w:rsid w:val="00D666CA"/>
    <w:rsid w:val="00D748C7"/>
    <w:rsid w:val="00D80A85"/>
    <w:rsid w:val="00D9186C"/>
    <w:rsid w:val="00DA17B5"/>
    <w:rsid w:val="00DA4A8C"/>
    <w:rsid w:val="00DB08CF"/>
    <w:rsid w:val="00DB6375"/>
    <w:rsid w:val="00DC156B"/>
    <w:rsid w:val="00DC609A"/>
    <w:rsid w:val="00DD0EA8"/>
    <w:rsid w:val="00DD4F5E"/>
    <w:rsid w:val="00DD560B"/>
    <w:rsid w:val="00DE233B"/>
    <w:rsid w:val="00DE4A97"/>
    <w:rsid w:val="00DF26F7"/>
    <w:rsid w:val="00E01507"/>
    <w:rsid w:val="00E03254"/>
    <w:rsid w:val="00E13272"/>
    <w:rsid w:val="00E1541A"/>
    <w:rsid w:val="00E15AFF"/>
    <w:rsid w:val="00E21590"/>
    <w:rsid w:val="00E21AFE"/>
    <w:rsid w:val="00E24A23"/>
    <w:rsid w:val="00E26F93"/>
    <w:rsid w:val="00E44DBA"/>
    <w:rsid w:val="00E55ABF"/>
    <w:rsid w:val="00E565D3"/>
    <w:rsid w:val="00E65F38"/>
    <w:rsid w:val="00E72FB5"/>
    <w:rsid w:val="00E738DE"/>
    <w:rsid w:val="00E7788E"/>
    <w:rsid w:val="00E83C04"/>
    <w:rsid w:val="00E852F8"/>
    <w:rsid w:val="00E87613"/>
    <w:rsid w:val="00E928F5"/>
    <w:rsid w:val="00E94E29"/>
    <w:rsid w:val="00EA100A"/>
    <w:rsid w:val="00EA5C71"/>
    <w:rsid w:val="00EB7323"/>
    <w:rsid w:val="00ED39AF"/>
    <w:rsid w:val="00ED3F3F"/>
    <w:rsid w:val="00ED51F7"/>
    <w:rsid w:val="00EE79F7"/>
    <w:rsid w:val="00EF438B"/>
    <w:rsid w:val="00EF53AF"/>
    <w:rsid w:val="00EF7791"/>
    <w:rsid w:val="00F058E6"/>
    <w:rsid w:val="00F1593F"/>
    <w:rsid w:val="00F250B3"/>
    <w:rsid w:val="00F3348F"/>
    <w:rsid w:val="00F4070A"/>
    <w:rsid w:val="00F47B2B"/>
    <w:rsid w:val="00F5318C"/>
    <w:rsid w:val="00F650ED"/>
    <w:rsid w:val="00F73A92"/>
    <w:rsid w:val="00F7571F"/>
    <w:rsid w:val="00F76321"/>
    <w:rsid w:val="00F76DC6"/>
    <w:rsid w:val="00F7762F"/>
    <w:rsid w:val="00F84D21"/>
    <w:rsid w:val="00F916D5"/>
    <w:rsid w:val="00FA161C"/>
    <w:rsid w:val="00FA52F0"/>
    <w:rsid w:val="00FB0C3A"/>
    <w:rsid w:val="00FB5150"/>
    <w:rsid w:val="00FB5236"/>
    <w:rsid w:val="00FC0117"/>
    <w:rsid w:val="00FC4260"/>
    <w:rsid w:val="00FC4B88"/>
    <w:rsid w:val="00FD0924"/>
    <w:rsid w:val="00FD6875"/>
    <w:rsid w:val="00FD77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F4"/>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paragraph" w:styleId="ListParagraph">
    <w:name w:val="List Paragraph"/>
    <w:basedOn w:val="Normal"/>
    <w:uiPriority w:val="34"/>
    <w:qFormat/>
    <w:rsid w:val="00843CE8"/>
    <w:pPr>
      <w:ind w:left="720"/>
    </w:pPr>
    <w:rPr>
      <w:rFonts w:eastAsia="Calibri"/>
      <w:lang w:val="en-ZA" w:eastAsia="en-ZA"/>
    </w:rPr>
  </w:style>
  <w:style w:type="table" w:styleId="TableGrid">
    <w:name w:val="Table Grid"/>
    <w:basedOn w:val="TableNormal"/>
    <w:uiPriority w:val="59"/>
    <w:locked/>
    <w:rsid w:val="00B7478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4788"/>
    <w:rPr>
      <w:rFonts w:ascii="Arial" w:eastAsia="Cambria" w:hAnsi="Arial"/>
      <w:sz w:val="22"/>
      <w:szCs w:val="24"/>
      <w:lang w:val="en-GB" w:eastAsia="en-US"/>
    </w:rPr>
  </w:style>
  <w:style w:type="character" w:styleId="Emphasis">
    <w:name w:val="Emphasis"/>
    <w:qFormat/>
    <w:locked/>
    <w:rsid w:val="002133D5"/>
    <w:rPr>
      <w:i/>
      <w:iCs/>
    </w:rPr>
  </w:style>
  <w:style w:type="paragraph" w:styleId="NormalWeb">
    <w:name w:val="Normal (Web)"/>
    <w:basedOn w:val="Normal"/>
    <w:uiPriority w:val="99"/>
    <w:unhideWhenUsed/>
    <w:rsid w:val="00960C9A"/>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027752738">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FEA4B-F283-43F3-B372-06442EB4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2017-09-19T11:06:00Z</cp:lastPrinted>
  <dcterms:created xsi:type="dcterms:W3CDTF">2019-11-04T10:50:00Z</dcterms:created>
  <dcterms:modified xsi:type="dcterms:W3CDTF">2019-11-04T10:50:00Z</dcterms:modified>
</cp:coreProperties>
</file>