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4A20EB">
        <w:rPr>
          <w:b/>
          <w:bCs/>
          <w:sz w:val="24"/>
          <w:u w:val="single"/>
        </w:rPr>
        <w:t>200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2546E">
        <w:rPr>
          <w:b/>
          <w:bCs/>
          <w:sz w:val="24"/>
          <w:u w:val="single"/>
        </w:rPr>
        <w:t>31</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92546E">
        <w:rPr>
          <w:rFonts w:ascii="Arial" w:hAnsi="Arial" w:cs="Arial"/>
          <w:b/>
          <w:bCs/>
          <w:sz w:val="24"/>
          <w:u w:val="single"/>
        </w:rPr>
        <w:t>2</w:t>
      </w:r>
      <w:r w:rsidRPr="008C527F">
        <w:rPr>
          <w:rFonts w:ascii="Arial" w:hAnsi="Arial" w:cs="Arial"/>
          <w:b/>
          <w:bCs/>
          <w:sz w:val="24"/>
          <w:u w:val="single"/>
        </w:rPr>
        <w:t>)</w:t>
      </w:r>
    </w:p>
    <w:p w:rsidR="004A20EB" w:rsidRPr="004A20EB" w:rsidRDefault="004A20EB" w:rsidP="004A20EB">
      <w:pPr>
        <w:spacing w:before="100" w:beforeAutospacing="1" w:after="100" w:afterAutospacing="1" w:line="240" w:lineRule="auto"/>
        <w:jc w:val="both"/>
        <w:rPr>
          <w:rFonts w:ascii="Arial" w:hAnsi="Arial" w:cs="Arial"/>
          <w:b/>
          <w:sz w:val="24"/>
          <w:szCs w:val="24"/>
          <w:u w:val="single"/>
          <w:lang w:val="en-GB"/>
        </w:rPr>
      </w:pPr>
      <w:r w:rsidRPr="004A20EB">
        <w:rPr>
          <w:rFonts w:ascii="Arial" w:hAnsi="Arial" w:cs="Arial"/>
          <w:b/>
          <w:sz w:val="24"/>
          <w:szCs w:val="24"/>
          <w:u w:val="single"/>
          <w:lang w:val="en-GB"/>
        </w:rPr>
        <w:t>Mrs E R Wilson (DA) to ask the Minister of Health</w:t>
      </w:r>
      <w:r w:rsidR="0011137C" w:rsidRPr="004A20EB">
        <w:rPr>
          <w:rFonts w:ascii="Arial" w:hAnsi="Arial" w:cs="Arial"/>
          <w:b/>
          <w:sz w:val="24"/>
          <w:szCs w:val="24"/>
          <w:u w:val="single"/>
          <w:lang w:val="en-GB"/>
        </w:rPr>
        <w:fldChar w:fldCharType="begin"/>
      </w:r>
      <w:r w:rsidRPr="004A20EB">
        <w:rPr>
          <w:rFonts w:ascii="Arial" w:hAnsi="Arial" w:cs="Arial"/>
          <w:u w:val="single"/>
        </w:rPr>
        <w:instrText xml:space="preserve"> XE "</w:instrText>
      </w:r>
      <w:r w:rsidRPr="004A20EB">
        <w:rPr>
          <w:rFonts w:ascii="Arial" w:hAnsi="Arial" w:cs="Arial"/>
          <w:b/>
          <w:bCs/>
          <w:sz w:val="24"/>
          <w:szCs w:val="24"/>
          <w:u w:val="single"/>
          <w:lang w:val="en-GB"/>
        </w:rPr>
        <w:instrText>Minister of Health</w:instrText>
      </w:r>
      <w:r w:rsidRPr="004A20EB">
        <w:rPr>
          <w:rFonts w:ascii="Arial" w:hAnsi="Arial" w:cs="Arial"/>
          <w:u w:val="single"/>
        </w:rPr>
        <w:instrText xml:space="preserve">" </w:instrText>
      </w:r>
      <w:r w:rsidR="0011137C" w:rsidRPr="004A20EB">
        <w:rPr>
          <w:rFonts w:ascii="Arial" w:hAnsi="Arial" w:cs="Arial"/>
          <w:b/>
          <w:sz w:val="24"/>
          <w:szCs w:val="24"/>
          <w:u w:val="single"/>
          <w:lang w:val="en-GB"/>
        </w:rPr>
        <w:fldChar w:fldCharType="end"/>
      </w:r>
      <w:r w:rsidRPr="004A20EB">
        <w:rPr>
          <w:rFonts w:ascii="Arial" w:hAnsi="Arial" w:cs="Arial"/>
          <w:b/>
          <w:sz w:val="24"/>
          <w:szCs w:val="24"/>
          <w:u w:val="single"/>
          <w:lang w:val="en-GB"/>
        </w:rPr>
        <w:t xml:space="preserve">: </w:t>
      </w:r>
    </w:p>
    <w:p w:rsidR="002C2A10" w:rsidRPr="00267208" w:rsidRDefault="004A20EB" w:rsidP="004A20EB">
      <w:pPr>
        <w:autoSpaceDE w:val="0"/>
        <w:autoSpaceDN w:val="0"/>
        <w:adjustRightInd w:val="0"/>
        <w:spacing w:before="100" w:beforeAutospacing="1" w:after="100" w:afterAutospacing="1" w:line="240" w:lineRule="auto"/>
        <w:jc w:val="both"/>
        <w:rPr>
          <w:rFonts w:ascii="Times New Roman" w:hAnsi="Times New Roman" w:cs="Times New Roman"/>
          <w:color w:val="000000"/>
          <w:sz w:val="20"/>
          <w:szCs w:val="24"/>
          <w:lang w:val="en-GB"/>
        </w:rPr>
      </w:pPr>
      <w:r w:rsidRPr="004A20EB">
        <w:rPr>
          <w:rFonts w:ascii="Arial" w:hAnsi="Arial" w:cs="Arial"/>
          <w:sz w:val="24"/>
          <w:szCs w:val="24"/>
          <w:lang w:val="en-GB"/>
        </w:rPr>
        <w:t xml:space="preserve">With reference to the reply by the Minister of Finance to question 2330 on 6 July 2022, what are the details of (a) the amount of the Health Promotion Levy that was allocated to his department, (b) the </w:t>
      </w:r>
      <w:r w:rsidRPr="004A20EB">
        <w:rPr>
          <w:rFonts w:ascii="Arial" w:hAnsi="Arial" w:cs="Arial"/>
          <w:bCs/>
          <w:sz w:val="24"/>
          <w:szCs w:val="24"/>
          <w:lang w:val="en-GB"/>
        </w:rPr>
        <w:t>amount</w:t>
      </w:r>
      <w:r w:rsidRPr="004A20EB">
        <w:rPr>
          <w:rFonts w:ascii="Arial" w:hAnsi="Arial" w:cs="Arial"/>
          <w:sz w:val="24"/>
          <w:szCs w:val="24"/>
          <w:lang w:val="en-GB"/>
        </w:rPr>
        <w:t xml:space="preserve"> that has been spent on the various health programmes and (c)(i) each of the specified programmes, (ii) the amount that has been spent on each programme and (iii) strides that each of the programmes has made in improving health in the Republic</w:t>
      </w:r>
      <w:r>
        <w:rPr>
          <w:rFonts w:ascii="Arial" w:hAnsi="Arial" w:cs="Arial"/>
          <w:sz w:val="24"/>
          <w:szCs w:val="24"/>
          <w:lang w:val="en-GB"/>
        </w:rPr>
        <w:t xml:space="preserve"> </w:t>
      </w:r>
      <w:r w:rsidR="008C527F" w:rsidRPr="0020357C">
        <w:rPr>
          <w:rFonts w:ascii="Arial" w:hAnsi="Arial" w:cs="Arial"/>
          <w:b/>
          <w:bCs/>
          <w:sz w:val="12"/>
          <w:szCs w:val="12"/>
        </w:rPr>
        <w:t>NW</w:t>
      </w:r>
      <w:r w:rsidR="00A904DA">
        <w:rPr>
          <w:rFonts w:ascii="Arial" w:hAnsi="Arial" w:cs="Arial"/>
          <w:b/>
          <w:bCs/>
          <w:sz w:val="12"/>
          <w:szCs w:val="12"/>
        </w:rPr>
        <w:t>1</w:t>
      </w:r>
      <w:r w:rsidR="00F63BFD">
        <w:rPr>
          <w:rFonts w:ascii="Arial" w:hAnsi="Arial" w:cs="Arial"/>
          <w:b/>
          <w:bCs/>
          <w:sz w:val="12"/>
          <w:szCs w:val="12"/>
        </w:rPr>
        <w:t>3</w:t>
      </w:r>
      <w:r w:rsidR="00267208">
        <w:rPr>
          <w:rFonts w:ascii="Arial" w:hAnsi="Arial" w:cs="Arial"/>
          <w:b/>
          <w:bCs/>
          <w:sz w:val="12"/>
          <w:szCs w:val="12"/>
        </w:rPr>
        <w:t>4</w:t>
      </w:r>
      <w:r>
        <w:rPr>
          <w:rFonts w:ascii="Arial" w:hAnsi="Arial" w:cs="Arial"/>
          <w:b/>
          <w:bCs/>
          <w:sz w:val="12"/>
          <w:szCs w:val="12"/>
        </w:rPr>
        <w:t>1</w:t>
      </w:r>
      <w:r w:rsidR="008C527F" w:rsidRPr="0020357C">
        <w:rPr>
          <w:rFonts w:ascii="Arial" w:hAnsi="Arial" w:cs="Arial"/>
          <w:b/>
          <w:bCs/>
          <w:sz w:val="12"/>
          <w:szCs w:val="12"/>
        </w:rPr>
        <w:t>E</w:t>
      </w:r>
    </w:p>
    <w:p w:rsidR="006228AA" w:rsidRPr="00C057AA" w:rsidRDefault="006228AA" w:rsidP="0057520A">
      <w:pPr>
        <w:spacing w:after="240" w:line="48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57520A" w:rsidRPr="00FA51F2" w:rsidRDefault="0057520A" w:rsidP="0057520A">
      <w:pPr>
        <w:pStyle w:val="ListParagraph"/>
        <w:numPr>
          <w:ilvl w:val="0"/>
          <w:numId w:val="17"/>
        </w:numPr>
        <w:spacing w:after="240" w:line="240" w:lineRule="auto"/>
        <w:ind w:hanging="720"/>
        <w:contextualSpacing w:val="0"/>
        <w:rPr>
          <w:rFonts w:ascii="Arial" w:eastAsia="Arial" w:hAnsi="Arial" w:cs="Arial"/>
          <w:sz w:val="24"/>
          <w:szCs w:val="24"/>
        </w:rPr>
      </w:pPr>
      <w:r w:rsidRPr="00FA51F2">
        <w:rPr>
          <w:rFonts w:ascii="Arial" w:eastAsia="Arial" w:hAnsi="Arial" w:cs="Arial"/>
          <w:sz w:val="24"/>
          <w:szCs w:val="24"/>
        </w:rPr>
        <w:t>The allocated amount was R48 366 00</w:t>
      </w:r>
      <w:r>
        <w:rPr>
          <w:rFonts w:ascii="Arial" w:eastAsia="Arial" w:hAnsi="Arial" w:cs="Arial"/>
          <w:sz w:val="24"/>
          <w:szCs w:val="24"/>
        </w:rPr>
        <w:t>0</w:t>
      </w:r>
      <w:r w:rsidRPr="00FA51F2">
        <w:rPr>
          <w:rFonts w:ascii="Arial" w:eastAsia="Arial" w:hAnsi="Arial" w:cs="Arial"/>
          <w:sz w:val="24"/>
          <w:szCs w:val="24"/>
        </w:rPr>
        <w:t xml:space="preserve"> in 2022/23</w:t>
      </w:r>
    </w:p>
    <w:p w:rsidR="0057520A" w:rsidRPr="00F1695F" w:rsidRDefault="0057520A" w:rsidP="0057520A">
      <w:pPr>
        <w:pStyle w:val="ListParagraph"/>
        <w:numPr>
          <w:ilvl w:val="0"/>
          <w:numId w:val="17"/>
        </w:numPr>
        <w:spacing w:after="240" w:line="240" w:lineRule="auto"/>
        <w:ind w:hanging="720"/>
        <w:contextualSpacing w:val="0"/>
        <w:jc w:val="both"/>
        <w:rPr>
          <w:rFonts w:ascii="Arial" w:eastAsia="Arial" w:hAnsi="Arial" w:cs="Arial"/>
          <w:bCs/>
          <w:sz w:val="24"/>
          <w:szCs w:val="24"/>
          <w:lang w:val="en-GB"/>
        </w:rPr>
      </w:pPr>
      <w:bookmarkStart w:id="1" w:name="_Hlk131504097"/>
      <w:r>
        <w:rPr>
          <w:rFonts w:ascii="Arial" w:eastAsia="Arial" w:hAnsi="Arial" w:cs="Arial"/>
          <w:bCs/>
          <w:sz w:val="24"/>
          <w:szCs w:val="24"/>
          <w:lang w:val="en-GB"/>
        </w:rPr>
        <w:t xml:space="preserve">R24 437 000 was spent in 2022/23. </w:t>
      </w:r>
    </w:p>
    <w:bookmarkEnd w:id="1"/>
    <w:p w:rsidR="0057520A" w:rsidRPr="001252F5" w:rsidRDefault="0057520A" w:rsidP="0057520A">
      <w:pPr>
        <w:pStyle w:val="ListParagraph"/>
        <w:numPr>
          <w:ilvl w:val="0"/>
          <w:numId w:val="17"/>
        </w:numPr>
        <w:tabs>
          <w:tab w:val="left" w:pos="709"/>
        </w:tabs>
        <w:spacing w:after="240" w:line="240" w:lineRule="auto"/>
        <w:ind w:left="1418" w:hanging="1418"/>
        <w:contextualSpacing w:val="0"/>
        <w:jc w:val="both"/>
        <w:rPr>
          <w:rFonts w:ascii="Arial" w:eastAsia="Arial" w:hAnsi="Arial" w:cs="Arial"/>
          <w:bCs/>
          <w:sz w:val="24"/>
          <w:szCs w:val="24"/>
          <w:lang w:val="en-GB"/>
        </w:rPr>
      </w:pPr>
      <w:r>
        <w:rPr>
          <w:rFonts w:ascii="Arial" w:eastAsia="Arial" w:hAnsi="Arial" w:cs="Arial"/>
          <w:sz w:val="24"/>
          <w:szCs w:val="24"/>
        </w:rPr>
        <w:t>(i)&amp;(ii) The programme named Chronic Diseases Disabilities &amp; Geriatrics spent R24 437 million on health promotion activities</w:t>
      </w:r>
      <w:r w:rsidR="0057225C">
        <w:rPr>
          <w:rFonts w:ascii="Arial" w:eastAsia="Arial" w:hAnsi="Arial" w:cs="Arial"/>
          <w:sz w:val="24"/>
          <w:szCs w:val="24"/>
        </w:rPr>
        <w:t xml:space="preserve"> which aim to promote wellness, reduce  the common risk factors underlying the priority Non-Communicable Diseases as well as to screen for these NCDs and link persons to care. </w:t>
      </w:r>
    </w:p>
    <w:p w:rsidR="0057520A" w:rsidRDefault="0057520A" w:rsidP="0057520A">
      <w:pPr>
        <w:pStyle w:val="ListParagraph"/>
        <w:spacing w:after="240" w:line="240" w:lineRule="auto"/>
        <w:ind w:left="1418" w:hanging="698"/>
        <w:contextualSpacing w:val="0"/>
        <w:jc w:val="both"/>
        <w:rPr>
          <w:rFonts w:ascii="Arial" w:eastAsia="Arial" w:hAnsi="Arial" w:cs="Arial"/>
          <w:sz w:val="24"/>
          <w:szCs w:val="24"/>
        </w:rPr>
      </w:pPr>
      <w:r>
        <w:rPr>
          <w:rFonts w:ascii="Arial" w:eastAsia="Arial" w:hAnsi="Arial" w:cs="Arial"/>
          <w:sz w:val="24"/>
          <w:szCs w:val="24"/>
        </w:rPr>
        <w:t>(iii)</w:t>
      </w:r>
      <w:r w:rsidRPr="00F1695F">
        <w:rPr>
          <w:rFonts w:ascii="Arial" w:eastAsia="Arial" w:hAnsi="Arial" w:cs="Arial"/>
          <w:sz w:val="24"/>
          <w:szCs w:val="24"/>
        </w:rPr>
        <w:t xml:space="preserve"> </w:t>
      </w:r>
      <w:r>
        <w:rPr>
          <w:rFonts w:ascii="Arial" w:eastAsia="Arial" w:hAnsi="Arial" w:cs="Arial"/>
          <w:sz w:val="24"/>
          <w:szCs w:val="24"/>
        </w:rPr>
        <w:tab/>
        <w:t>The following strides are made:</w:t>
      </w:r>
    </w:p>
    <w:p w:rsidR="0057520A" w:rsidRPr="00A971EB" w:rsidRDefault="0057520A" w:rsidP="00897668">
      <w:pPr>
        <w:pStyle w:val="ListParagraph"/>
        <w:numPr>
          <w:ilvl w:val="0"/>
          <w:numId w:val="18"/>
        </w:numPr>
        <w:spacing w:after="240" w:line="240" w:lineRule="auto"/>
        <w:ind w:left="2127" w:right="28" w:hanging="644"/>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In 2021 PRICELESS reported evidence-based gains from the</w:t>
      </w:r>
      <w:r w:rsidR="0002530F">
        <w:rPr>
          <w:rFonts w:ascii="Arial" w:eastAsia="Times New Roman" w:hAnsi="Arial" w:cs="Arial"/>
          <w:sz w:val="24"/>
          <w:szCs w:val="24"/>
          <w:lang w:eastAsia="en-ZA"/>
        </w:rPr>
        <w:t xml:space="preserve"> Health Promotion Levy (</w:t>
      </w:r>
      <w:r w:rsidRPr="00A971EB">
        <w:rPr>
          <w:rFonts w:ascii="Arial" w:eastAsia="Times New Roman" w:hAnsi="Arial" w:cs="Arial"/>
          <w:sz w:val="24"/>
          <w:szCs w:val="24"/>
          <w:lang w:eastAsia="en-ZA"/>
        </w:rPr>
        <w:t>HPL</w:t>
      </w:r>
      <w:r w:rsidR="0002530F">
        <w:rPr>
          <w:rFonts w:ascii="Arial" w:eastAsia="Times New Roman" w:hAnsi="Arial" w:cs="Arial"/>
          <w:sz w:val="24"/>
          <w:szCs w:val="24"/>
          <w:lang w:eastAsia="en-ZA"/>
        </w:rPr>
        <w:t>)</w:t>
      </w:r>
      <w:r w:rsidR="0002530F" w:rsidRPr="00A971EB">
        <w:rPr>
          <w:rFonts w:ascii="Arial" w:eastAsia="Times New Roman" w:hAnsi="Arial" w:cs="Arial"/>
          <w:sz w:val="24"/>
          <w:szCs w:val="24"/>
          <w:lang w:eastAsia="en-ZA"/>
        </w:rPr>
        <w:t>, including</w:t>
      </w:r>
      <w:r w:rsidRPr="00A971EB">
        <w:rPr>
          <w:rFonts w:ascii="Arial" w:eastAsia="Times New Roman" w:hAnsi="Arial" w:cs="Arial"/>
          <w:sz w:val="24"/>
          <w:szCs w:val="24"/>
          <w:lang w:eastAsia="en-ZA"/>
        </w:rPr>
        <w:t xml:space="preserve"> </w:t>
      </w:r>
    </w:p>
    <w:p w:rsidR="0057520A" w:rsidRDefault="0057520A" w:rsidP="00897668">
      <w:pPr>
        <w:pStyle w:val="ListParagraph"/>
        <w:numPr>
          <w:ilvl w:val="1"/>
          <w:numId w:val="18"/>
        </w:numPr>
        <w:spacing w:after="0" w:line="240" w:lineRule="auto"/>
        <w:ind w:left="2835" w:right="28" w:hanging="644"/>
        <w:contextualSpacing w:val="0"/>
        <w:jc w:val="both"/>
        <w:rPr>
          <w:rFonts w:ascii="Arial" w:eastAsia="Times New Roman" w:hAnsi="Arial" w:cs="Arial"/>
          <w:sz w:val="24"/>
          <w:szCs w:val="24"/>
          <w:lang w:eastAsia="en-ZA"/>
        </w:rPr>
      </w:pPr>
      <w:r w:rsidRPr="00897668">
        <w:rPr>
          <w:rFonts w:ascii="Arial" w:eastAsia="Times New Roman" w:hAnsi="Arial" w:cs="Arial"/>
          <w:sz w:val="24"/>
          <w:szCs w:val="24"/>
          <w:lang w:eastAsia="en-ZA"/>
        </w:rPr>
        <w:t>The national urban household purchases of taxable beverages by</w:t>
      </w:r>
      <w:r w:rsidR="00897668" w:rsidRPr="00897668">
        <w:rPr>
          <w:rFonts w:ascii="Arial" w:eastAsia="Times New Roman" w:hAnsi="Arial" w:cs="Arial"/>
          <w:sz w:val="24"/>
          <w:szCs w:val="24"/>
          <w:lang w:eastAsia="en-ZA"/>
        </w:rPr>
        <w:t xml:space="preserve"> </w:t>
      </w:r>
      <w:r w:rsidRPr="00897668">
        <w:rPr>
          <w:rFonts w:ascii="Arial" w:eastAsia="Times New Roman" w:hAnsi="Arial" w:cs="Arial"/>
          <w:sz w:val="24"/>
          <w:szCs w:val="24"/>
          <w:lang w:eastAsia="en-ZA"/>
        </w:rPr>
        <w:t xml:space="preserve">volume fell by 51% (Kantar) with a  29 % decrease in sugar intake. </w:t>
      </w:r>
    </w:p>
    <w:p w:rsidR="00897668" w:rsidRPr="00897668" w:rsidRDefault="00897668" w:rsidP="00897668">
      <w:pPr>
        <w:pStyle w:val="ListParagraph"/>
        <w:spacing w:after="0" w:line="240" w:lineRule="auto"/>
        <w:ind w:left="2835" w:right="28" w:hanging="644"/>
        <w:contextualSpacing w:val="0"/>
        <w:jc w:val="both"/>
        <w:rPr>
          <w:rFonts w:ascii="Arial" w:eastAsia="Times New Roman" w:hAnsi="Arial" w:cs="Arial"/>
          <w:sz w:val="24"/>
          <w:szCs w:val="24"/>
          <w:lang w:eastAsia="en-ZA"/>
        </w:rPr>
      </w:pPr>
    </w:p>
    <w:p w:rsidR="0057520A" w:rsidRPr="00A971EB" w:rsidRDefault="0057520A" w:rsidP="00897668">
      <w:pPr>
        <w:pStyle w:val="ListParagraph"/>
        <w:numPr>
          <w:ilvl w:val="1"/>
          <w:numId w:val="18"/>
        </w:numPr>
        <w:spacing w:after="0" w:line="240" w:lineRule="auto"/>
        <w:ind w:left="2835" w:right="28" w:hanging="644"/>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In a self-reported Langa survey of  young adults ( 18- 39 y), on taxable</w:t>
      </w:r>
    </w:p>
    <w:p w:rsidR="0057520A" w:rsidRDefault="0057520A" w:rsidP="00897668">
      <w:pPr>
        <w:pStyle w:val="ListParagraph"/>
        <w:spacing w:after="0" w:line="240" w:lineRule="auto"/>
        <w:ind w:left="2835" w:right="28"/>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beverages showed a 37% reduction by volume and 31% decrease in sugar intake</w:t>
      </w:r>
      <w:r w:rsidR="0002530F">
        <w:rPr>
          <w:rFonts w:ascii="Arial" w:eastAsia="Times New Roman" w:hAnsi="Arial" w:cs="Arial"/>
          <w:sz w:val="24"/>
          <w:szCs w:val="24"/>
          <w:lang w:eastAsia="en-ZA"/>
        </w:rPr>
        <w:t>.</w:t>
      </w:r>
    </w:p>
    <w:p w:rsidR="00897668" w:rsidRPr="00A971EB" w:rsidRDefault="00897668" w:rsidP="00897668">
      <w:pPr>
        <w:pStyle w:val="ListParagraph"/>
        <w:spacing w:after="0" w:line="240" w:lineRule="auto"/>
        <w:ind w:left="2835" w:right="28" w:hanging="644"/>
        <w:contextualSpacing w:val="0"/>
        <w:jc w:val="both"/>
        <w:rPr>
          <w:rFonts w:ascii="Arial" w:eastAsia="Times New Roman" w:hAnsi="Arial" w:cs="Arial"/>
          <w:sz w:val="24"/>
          <w:szCs w:val="24"/>
          <w:lang w:eastAsia="en-ZA"/>
        </w:rPr>
      </w:pPr>
    </w:p>
    <w:p w:rsidR="0057520A" w:rsidRDefault="0057520A" w:rsidP="00897668">
      <w:pPr>
        <w:pStyle w:val="ListParagraph"/>
        <w:numPr>
          <w:ilvl w:val="1"/>
          <w:numId w:val="18"/>
        </w:numPr>
        <w:spacing w:after="0" w:line="240" w:lineRule="auto"/>
        <w:ind w:left="2835" w:right="28" w:hanging="644"/>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In a Soweto Study of teenagers, young adults, and older adults, the frequency of Sugar Sweetened Beverages intake amongst heavy consumers fell from 10 beverages per week pre HPL to 4 beverages per week one year post HPL</w:t>
      </w:r>
      <w:r w:rsidR="0002530F">
        <w:rPr>
          <w:rFonts w:ascii="Arial" w:eastAsia="Times New Roman" w:hAnsi="Arial" w:cs="Arial"/>
          <w:sz w:val="24"/>
          <w:szCs w:val="24"/>
          <w:lang w:eastAsia="en-ZA"/>
        </w:rPr>
        <w:t>.</w:t>
      </w:r>
    </w:p>
    <w:p w:rsidR="00897668" w:rsidRDefault="00897668" w:rsidP="00897668">
      <w:pPr>
        <w:pStyle w:val="ListParagraph"/>
        <w:spacing w:after="0" w:line="240" w:lineRule="auto"/>
        <w:ind w:left="1843" w:right="28"/>
        <w:contextualSpacing w:val="0"/>
        <w:jc w:val="both"/>
        <w:rPr>
          <w:rFonts w:ascii="Arial" w:eastAsia="Times New Roman" w:hAnsi="Arial" w:cs="Arial"/>
          <w:sz w:val="24"/>
          <w:szCs w:val="24"/>
          <w:lang w:eastAsia="en-ZA"/>
        </w:rPr>
      </w:pPr>
    </w:p>
    <w:p w:rsidR="003878E3" w:rsidRDefault="0057520A" w:rsidP="00897668">
      <w:pPr>
        <w:pStyle w:val="ListParagraph"/>
        <w:numPr>
          <w:ilvl w:val="0"/>
          <w:numId w:val="18"/>
        </w:numPr>
        <w:spacing w:after="240" w:line="240" w:lineRule="auto"/>
        <w:ind w:left="2127" w:right="26" w:hanging="644"/>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t xml:space="preserve">In 2022, the Department approved the National Strategic Plan for the Prevention and Control of Non-Communicable Diseases 2022 – 2027 (NSP NCDs) which adopts an integrated person centered approach and is inclusive of population level interventions. </w:t>
      </w:r>
    </w:p>
    <w:p w:rsidR="0057520A" w:rsidRPr="00A971EB" w:rsidRDefault="0057520A" w:rsidP="003878E3">
      <w:pPr>
        <w:pStyle w:val="ListParagraph"/>
        <w:spacing w:after="240" w:line="240" w:lineRule="auto"/>
        <w:ind w:left="2127" w:right="26"/>
        <w:contextualSpacing w:val="0"/>
        <w:jc w:val="both"/>
        <w:rPr>
          <w:rFonts w:ascii="Arial" w:eastAsia="Times New Roman" w:hAnsi="Arial" w:cs="Arial"/>
          <w:sz w:val="24"/>
          <w:szCs w:val="24"/>
          <w:lang w:eastAsia="en-ZA"/>
        </w:rPr>
      </w:pPr>
      <w:r w:rsidRPr="00A971EB">
        <w:rPr>
          <w:rFonts w:ascii="Arial" w:eastAsia="Times New Roman" w:hAnsi="Arial" w:cs="Arial"/>
          <w:sz w:val="24"/>
          <w:szCs w:val="24"/>
          <w:lang w:eastAsia="en-ZA"/>
        </w:rPr>
        <w:lastRenderedPageBreak/>
        <w:t xml:space="preserve">The NSP NCDs aims </w:t>
      </w:r>
      <w:r w:rsidR="0002530F" w:rsidRPr="00A971EB">
        <w:rPr>
          <w:rFonts w:ascii="Arial" w:eastAsia="Times New Roman" w:hAnsi="Arial" w:cs="Arial"/>
          <w:sz w:val="24"/>
          <w:szCs w:val="24"/>
          <w:lang w:eastAsia="en-ZA"/>
        </w:rPr>
        <w:t>to promote</w:t>
      </w:r>
      <w:r w:rsidRPr="00A971EB">
        <w:rPr>
          <w:rFonts w:ascii="Arial" w:eastAsia="Times New Roman" w:hAnsi="Arial" w:cs="Arial"/>
          <w:sz w:val="24"/>
          <w:szCs w:val="24"/>
          <w:lang w:eastAsia="en-ZA"/>
        </w:rPr>
        <w:t xml:space="preserve"> wellness, reduce modifiable risk behaviour, enhance management and control of non-communicable diseases in particular hypertension and diabetes and empower communities, patients and their families. </w:t>
      </w:r>
    </w:p>
    <w:p w:rsidR="0057520A" w:rsidRPr="001E51F1" w:rsidRDefault="0057520A" w:rsidP="00897668">
      <w:pPr>
        <w:pStyle w:val="ListParagraph"/>
        <w:numPr>
          <w:ilvl w:val="0"/>
          <w:numId w:val="18"/>
        </w:numPr>
        <w:shd w:val="clear" w:color="auto" w:fill="FFFFFF"/>
        <w:spacing w:after="240" w:line="240" w:lineRule="auto"/>
        <w:ind w:left="2127" w:hanging="644"/>
        <w:contextualSpacing w:val="0"/>
        <w:jc w:val="both"/>
        <w:textAlignment w:val="baseline"/>
        <w:rPr>
          <w:rFonts w:ascii="inherit" w:eastAsia="Times New Roman" w:hAnsi="inherit" w:cs="Times New Roman"/>
          <w:color w:val="000000"/>
          <w:sz w:val="24"/>
          <w:szCs w:val="24"/>
          <w:lang w:eastAsia="en-ZA"/>
        </w:rPr>
      </w:pPr>
      <w:r w:rsidRPr="001E51F1">
        <w:rPr>
          <w:rFonts w:ascii="Arial" w:eastAsia="Times New Roman" w:hAnsi="Arial" w:cs="Arial"/>
          <w:sz w:val="24"/>
          <w:szCs w:val="24"/>
          <w:lang w:eastAsia="en-ZA"/>
        </w:rPr>
        <w:t>The 2022/23 Annual Performance Quarter 1 to Quarter 4 Reports confirm increased health seeking behaviour as the t</w:t>
      </w:r>
      <w:r w:rsidRPr="001E51F1">
        <w:rPr>
          <w:rFonts w:ascii="Arial" w:eastAsia="Times New Roman" w:hAnsi="Arial" w:cs="Arial"/>
          <w:color w:val="000000"/>
          <w:sz w:val="24"/>
          <w:szCs w:val="24"/>
          <w:lang w:eastAsia="en-ZA"/>
        </w:rPr>
        <w:t>otal screened for diabetes</w:t>
      </w:r>
      <w:r w:rsidR="00897668">
        <w:rPr>
          <w:rFonts w:ascii="Arial" w:eastAsia="Times New Roman" w:hAnsi="Arial" w:cs="Arial"/>
          <w:color w:val="000000"/>
          <w:sz w:val="24"/>
          <w:szCs w:val="24"/>
          <w:lang w:eastAsia="en-ZA"/>
        </w:rPr>
        <w:t xml:space="preserve"> </w:t>
      </w:r>
      <w:r w:rsidRPr="001E51F1">
        <w:rPr>
          <w:rFonts w:ascii="Arial" w:eastAsia="Times New Roman" w:hAnsi="Arial" w:cs="Arial"/>
          <w:color w:val="000000"/>
          <w:sz w:val="24"/>
          <w:szCs w:val="24"/>
          <w:lang w:eastAsia="en-ZA"/>
        </w:rPr>
        <w:t>for</w:t>
      </w:r>
      <w:r w:rsidRPr="001E51F1">
        <w:rPr>
          <w:rFonts w:ascii="Arial" w:eastAsia="Times New Roman" w:hAnsi="Arial" w:cs="Arial"/>
          <w:color w:val="000000"/>
          <w:sz w:val="24"/>
          <w:szCs w:val="24"/>
          <w:bdr w:val="none" w:sz="0" w:space="0" w:color="auto" w:frame="1"/>
          <w:lang w:eastAsia="en-ZA"/>
        </w:rPr>
        <w:t xml:space="preserve"> Q1 was </w:t>
      </w:r>
      <w:r w:rsidRPr="001E51F1">
        <w:rPr>
          <w:rFonts w:ascii="Arial" w:eastAsia="Times New Roman" w:hAnsi="Arial" w:cs="Arial"/>
          <w:color w:val="000000"/>
          <w:sz w:val="24"/>
          <w:szCs w:val="24"/>
          <w:lang w:eastAsia="en-ZA"/>
        </w:rPr>
        <w:t xml:space="preserve">2 550 479 which increased to </w:t>
      </w:r>
      <w:r>
        <w:rPr>
          <w:rFonts w:ascii="Arial" w:eastAsia="Times New Roman" w:hAnsi="Arial" w:cs="Arial"/>
          <w:color w:val="000000"/>
          <w:sz w:val="24"/>
          <w:szCs w:val="24"/>
          <w:lang w:eastAsia="en-ZA"/>
        </w:rPr>
        <w:t>18 838 794</w:t>
      </w:r>
      <w:r w:rsidRPr="001E51F1">
        <w:rPr>
          <w:rFonts w:ascii="Arial" w:eastAsia="Times New Roman" w:hAnsi="Arial" w:cs="Arial"/>
          <w:color w:val="000000"/>
          <w:sz w:val="24"/>
          <w:szCs w:val="24"/>
          <w:lang w:eastAsia="en-ZA"/>
        </w:rPr>
        <w:t xml:space="preserve"> in Q4. Total screened for hypertension for</w:t>
      </w:r>
      <w:r w:rsidRPr="001E51F1">
        <w:rPr>
          <w:rFonts w:ascii="Arial" w:eastAsia="Times New Roman" w:hAnsi="Arial" w:cs="Arial"/>
          <w:color w:val="000000"/>
          <w:sz w:val="24"/>
          <w:szCs w:val="24"/>
          <w:bdr w:val="none" w:sz="0" w:space="0" w:color="auto" w:frame="1"/>
          <w:lang w:eastAsia="en-ZA"/>
        </w:rPr>
        <w:t xml:space="preserve"> Q1 was </w:t>
      </w:r>
      <w:r w:rsidRPr="001E51F1">
        <w:rPr>
          <w:rFonts w:ascii="Arial" w:eastAsia="Times New Roman" w:hAnsi="Arial" w:cs="Arial"/>
          <w:color w:val="000000"/>
          <w:sz w:val="24"/>
          <w:szCs w:val="24"/>
          <w:lang w:eastAsia="en-ZA"/>
        </w:rPr>
        <w:t xml:space="preserve"> 2 654 572 which increased to </w:t>
      </w:r>
      <w:r>
        <w:rPr>
          <w:rFonts w:ascii="Arial" w:eastAsia="Times New Roman" w:hAnsi="Arial" w:cs="Arial"/>
          <w:color w:val="000000"/>
          <w:sz w:val="24"/>
          <w:szCs w:val="24"/>
          <w:lang w:eastAsia="en-ZA"/>
        </w:rPr>
        <w:t>19 270 634</w:t>
      </w:r>
      <w:r w:rsidRPr="001E51F1">
        <w:rPr>
          <w:rFonts w:ascii="Arial" w:eastAsia="Times New Roman" w:hAnsi="Arial" w:cs="Arial"/>
          <w:color w:val="000000"/>
          <w:sz w:val="24"/>
          <w:szCs w:val="24"/>
          <w:lang w:eastAsia="en-ZA"/>
        </w:rPr>
        <w:t xml:space="preserve"> in Q</w:t>
      </w:r>
      <w:r>
        <w:rPr>
          <w:rFonts w:ascii="Arial" w:eastAsia="Times New Roman" w:hAnsi="Arial" w:cs="Arial"/>
          <w:color w:val="000000"/>
          <w:sz w:val="24"/>
          <w:szCs w:val="24"/>
          <w:lang w:eastAsia="en-ZA"/>
        </w:rPr>
        <w:t>4</w:t>
      </w:r>
      <w:r w:rsidRPr="001E51F1">
        <w:rPr>
          <w:rFonts w:ascii="Arial" w:eastAsia="Times New Roman" w:hAnsi="Arial" w:cs="Arial"/>
          <w:color w:val="000000"/>
          <w:sz w:val="24"/>
          <w:szCs w:val="24"/>
          <w:lang w:eastAsia="en-ZA"/>
        </w:rPr>
        <w:t xml:space="preserve">. </w:t>
      </w:r>
    </w:p>
    <w:p w:rsidR="0057520A" w:rsidRPr="0002530F" w:rsidRDefault="0057520A" w:rsidP="0002530F">
      <w:pPr>
        <w:pStyle w:val="ListParagraph"/>
        <w:numPr>
          <w:ilvl w:val="0"/>
          <w:numId w:val="18"/>
        </w:numPr>
        <w:spacing w:after="240" w:line="240" w:lineRule="auto"/>
        <w:ind w:left="2127" w:right="26" w:hanging="644"/>
        <w:contextualSpacing w:val="0"/>
        <w:jc w:val="both"/>
        <w:rPr>
          <w:rFonts w:ascii="Arial" w:hAnsi="Arial" w:cs="Arial"/>
          <w:b/>
          <w:sz w:val="24"/>
          <w:szCs w:val="24"/>
        </w:rPr>
      </w:pPr>
      <w:r w:rsidRPr="0002530F">
        <w:rPr>
          <w:rFonts w:ascii="Arial" w:eastAsia="Arial" w:hAnsi="Arial" w:cs="Arial"/>
          <w:sz w:val="24"/>
          <w:szCs w:val="24"/>
        </w:rPr>
        <w:t xml:space="preserve">The Health Promotion Levy was implemented in 2018. Strides in terms of health outcomes manifests in the long-term (at least 10 years), since long established behavioural practices that contribute to ill-health, takes time to reverse. </w:t>
      </w:r>
    </w:p>
    <w:p w:rsidR="003878E3" w:rsidRDefault="003878E3"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3F" w:rsidRDefault="002C083F" w:rsidP="00BF747C">
      <w:pPr>
        <w:spacing w:after="0" w:line="240" w:lineRule="auto"/>
      </w:pPr>
      <w:r>
        <w:separator/>
      </w:r>
    </w:p>
  </w:endnote>
  <w:endnote w:type="continuationSeparator" w:id="0">
    <w:p w:rsidR="002C083F" w:rsidRDefault="002C083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11137C">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2C083F">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3F" w:rsidRDefault="002C083F" w:rsidP="00BF747C">
      <w:pPr>
        <w:spacing w:after="0" w:line="240" w:lineRule="auto"/>
      </w:pPr>
      <w:r>
        <w:separator/>
      </w:r>
    </w:p>
  </w:footnote>
  <w:footnote w:type="continuationSeparator" w:id="0">
    <w:p w:rsidR="002C083F" w:rsidRDefault="002C083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6C5AA1"/>
    <w:multiLevelType w:val="hybridMultilevel"/>
    <w:tmpl w:val="B060E10E"/>
    <w:lvl w:ilvl="0" w:tplc="4BCE8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FD03BE0"/>
    <w:multiLevelType w:val="hybridMultilevel"/>
    <w:tmpl w:val="901E56E6"/>
    <w:lvl w:ilvl="0" w:tplc="1C090001">
      <w:start w:val="1"/>
      <w:numFmt w:val="bullet"/>
      <w:lvlText w:val=""/>
      <w:lvlJc w:val="left"/>
      <w:pPr>
        <w:ind w:left="787" w:hanging="360"/>
      </w:pPr>
      <w:rPr>
        <w:rFonts w:ascii="Symbol" w:hAnsi="Symbol" w:hint="default"/>
      </w:rPr>
    </w:lvl>
    <w:lvl w:ilvl="1" w:tplc="1C090003">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7"/>
  </w:num>
  <w:num w:numId="5">
    <w:abstractNumId w:val="7"/>
  </w:num>
  <w:num w:numId="6">
    <w:abstractNumId w:val="13"/>
  </w:num>
  <w:num w:numId="7">
    <w:abstractNumId w:val="10"/>
  </w:num>
  <w:num w:numId="8">
    <w:abstractNumId w:val="4"/>
  </w:num>
  <w:num w:numId="9">
    <w:abstractNumId w:val="9"/>
  </w:num>
  <w:num w:numId="10">
    <w:abstractNumId w:val="0"/>
  </w:num>
  <w:num w:numId="11">
    <w:abstractNumId w:val="5"/>
  </w:num>
  <w:num w:numId="12">
    <w:abstractNumId w:val="12"/>
  </w:num>
  <w:num w:numId="13">
    <w:abstractNumId w:val="15"/>
  </w:num>
  <w:num w:numId="14">
    <w:abstractNumId w:val="1"/>
  </w:num>
  <w:num w:numId="15">
    <w:abstractNumId w:val="2"/>
  </w:num>
  <w:num w:numId="16">
    <w:abstractNumId w:val="14"/>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2530F"/>
    <w:rsid w:val="000603E0"/>
    <w:rsid w:val="0006704A"/>
    <w:rsid w:val="00071657"/>
    <w:rsid w:val="00084A07"/>
    <w:rsid w:val="000973CE"/>
    <w:rsid w:val="000B53B0"/>
    <w:rsid w:val="000B5C30"/>
    <w:rsid w:val="000C12EC"/>
    <w:rsid w:val="000D7AA8"/>
    <w:rsid w:val="00102E24"/>
    <w:rsid w:val="00107C0A"/>
    <w:rsid w:val="0011067E"/>
    <w:rsid w:val="0011137C"/>
    <w:rsid w:val="001979F1"/>
    <w:rsid w:val="001B1384"/>
    <w:rsid w:val="001C0A3B"/>
    <w:rsid w:val="001C297F"/>
    <w:rsid w:val="001E58AE"/>
    <w:rsid w:val="001F5233"/>
    <w:rsid w:val="002032D2"/>
    <w:rsid w:val="0020357C"/>
    <w:rsid w:val="00245085"/>
    <w:rsid w:val="00250BFB"/>
    <w:rsid w:val="00267208"/>
    <w:rsid w:val="00275DB0"/>
    <w:rsid w:val="00280222"/>
    <w:rsid w:val="002A0C62"/>
    <w:rsid w:val="002C083F"/>
    <w:rsid w:val="002C2A10"/>
    <w:rsid w:val="002D383B"/>
    <w:rsid w:val="002E1027"/>
    <w:rsid w:val="002F4617"/>
    <w:rsid w:val="00306F90"/>
    <w:rsid w:val="00306FFC"/>
    <w:rsid w:val="003648B1"/>
    <w:rsid w:val="0037106C"/>
    <w:rsid w:val="003878E3"/>
    <w:rsid w:val="003B1818"/>
    <w:rsid w:val="003B2854"/>
    <w:rsid w:val="00406988"/>
    <w:rsid w:val="00412151"/>
    <w:rsid w:val="00447BE3"/>
    <w:rsid w:val="0046053B"/>
    <w:rsid w:val="00464595"/>
    <w:rsid w:val="00464B29"/>
    <w:rsid w:val="0047527C"/>
    <w:rsid w:val="004A20EB"/>
    <w:rsid w:val="004A44E4"/>
    <w:rsid w:val="004B2E8A"/>
    <w:rsid w:val="004B46FE"/>
    <w:rsid w:val="004C5C74"/>
    <w:rsid w:val="004C6910"/>
    <w:rsid w:val="004D49AE"/>
    <w:rsid w:val="00527131"/>
    <w:rsid w:val="005419B3"/>
    <w:rsid w:val="00546927"/>
    <w:rsid w:val="00555563"/>
    <w:rsid w:val="0056197A"/>
    <w:rsid w:val="0057225C"/>
    <w:rsid w:val="0057520A"/>
    <w:rsid w:val="005A4E67"/>
    <w:rsid w:val="005C3DC0"/>
    <w:rsid w:val="005D2583"/>
    <w:rsid w:val="005E20E3"/>
    <w:rsid w:val="005E66E9"/>
    <w:rsid w:val="005F024D"/>
    <w:rsid w:val="006228AA"/>
    <w:rsid w:val="00630E06"/>
    <w:rsid w:val="00641363"/>
    <w:rsid w:val="00643DA3"/>
    <w:rsid w:val="00644FCB"/>
    <w:rsid w:val="00646C86"/>
    <w:rsid w:val="00656D52"/>
    <w:rsid w:val="00670FBA"/>
    <w:rsid w:val="00690396"/>
    <w:rsid w:val="0069149E"/>
    <w:rsid w:val="00734A14"/>
    <w:rsid w:val="007408C8"/>
    <w:rsid w:val="007645A8"/>
    <w:rsid w:val="007E1F8F"/>
    <w:rsid w:val="007F0AE0"/>
    <w:rsid w:val="00811F25"/>
    <w:rsid w:val="008124CC"/>
    <w:rsid w:val="00865AA2"/>
    <w:rsid w:val="00897668"/>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E0DC8"/>
    <w:rsid w:val="00B268F2"/>
    <w:rsid w:val="00B416FF"/>
    <w:rsid w:val="00BB3958"/>
    <w:rsid w:val="00BB75F5"/>
    <w:rsid w:val="00BE1738"/>
    <w:rsid w:val="00BF747C"/>
    <w:rsid w:val="00C057AA"/>
    <w:rsid w:val="00C2436E"/>
    <w:rsid w:val="00C36128"/>
    <w:rsid w:val="00C647E9"/>
    <w:rsid w:val="00C94EDC"/>
    <w:rsid w:val="00CD4399"/>
    <w:rsid w:val="00CE2151"/>
    <w:rsid w:val="00CF0B96"/>
    <w:rsid w:val="00D514C2"/>
    <w:rsid w:val="00D566C6"/>
    <w:rsid w:val="00D702F8"/>
    <w:rsid w:val="00DB5964"/>
    <w:rsid w:val="00DC10DE"/>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C6F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7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paragraph" w:styleId="Revision">
    <w:name w:val="Revision"/>
    <w:hidden/>
    <w:uiPriority w:val="99"/>
    <w:semiHidden/>
    <w:rsid w:val="005722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2023-05-03T09:53:00Z</dcterms:created>
  <dcterms:modified xsi:type="dcterms:W3CDTF">2023-05-03T09:53:00Z</dcterms:modified>
</cp:coreProperties>
</file>