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92546E">
        <w:rPr>
          <w:b/>
          <w:bCs/>
          <w:sz w:val="24"/>
          <w:u w:val="single"/>
        </w:rPr>
        <w:t>1</w:t>
      </w:r>
      <w:r w:rsidR="00F63BFD">
        <w:rPr>
          <w:b/>
          <w:bCs/>
          <w:sz w:val="24"/>
          <w:u w:val="single"/>
        </w:rPr>
        <w:t>9</w:t>
      </w:r>
      <w:r w:rsidR="00811F25">
        <w:rPr>
          <w:b/>
          <w:bCs/>
          <w:sz w:val="24"/>
          <w:u w:val="single"/>
        </w:rPr>
        <w:t>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2546E">
        <w:rPr>
          <w:b/>
          <w:bCs/>
          <w:sz w:val="24"/>
          <w:u w:val="single"/>
        </w:rPr>
        <w:t>31</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92546E">
        <w:rPr>
          <w:rFonts w:ascii="Arial" w:hAnsi="Arial" w:cs="Arial"/>
          <w:b/>
          <w:bCs/>
          <w:sz w:val="24"/>
          <w:u w:val="single"/>
        </w:rPr>
        <w:t>2</w:t>
      </w:r>
      <w:r w:rsidRPr="008C527F">
        <w:rPr>
          <w:rFonts w:ascii="Arial" w:hAnsi="Arial" w:cs="Arial"/>
          <w:b/>
          <w:bCs/>
          <w:sz w:val="24"/>
          <w:u w:val="single"/>
        </w:rPr>
        <w:t>)</w:t>
      </w:r>
    </w:p>
    <w:p w:rsidR="00811F25" w:rsidRPr="00811F25" w:rsidRDefault="00811F25" w:rsidP="00811F25">
      <w:pPr>
        <w:spacing w:before="100" w:beforeAutospacing="1" w:after="100" w:afterAutospacing="1" w:line="240" w:lineRule="auto"/>
        <w:jc w:val="both"/>
        <w:rPr>
          <w:rFonts w:ascii="Arial" w:hAnsi="Arial" w:cs="Arial"/>
          <w:b/>
          <w:sz w:val="24"/>
          <w:szCs w:val="24"/>
          <w:u w:val="single"/>
          <w:lang w:val="en-GB"/>
        </w:rPr>
      </w:pPr>
      <w:r w:rsidRPr="00811F25">
        <w:rPr>
          <w:rFonts w:ascii="Arial" w:hAnsi="Arial" w:cs="Arial"/>
          <w:b/>
          <w:sz w:val="24"/>
          <w:szCs w:val="24"/>
          <w:u w:val="single"/>
          <w:lang w:val="en-GB"/>
        </w:rPr>
        <w:t>Mrs M O Clarke (DA) to ask the Minister of Health</w:t>
      </w:r>
      <w:r w:rsidR="00CC5C0D" w:rsidRPr="00811F25">
        <w:rPr>
          <w:rFonts w:ascii="Arial" w:hAnsi="Arial" w:cs="Arial"/>
          <w:b/>
          <w:sz w:val="24"/>
          <w:szCs w:val="24"/>
          <w:u w:val="single"/>
          <w:lang w:val="en-GB"/>
        </w:rPr>
        <w:fldChar w:fldCharType="begin"/>
      </w:r>
      <w:r w:rsidRPr="00811F25">
        <w:rPr>
          <w:rFonts w:ascii="Arial" w:hAnsi="Arial" w:cs="Arial"/>
          <w:u w:val="single"/>
        </w:rPr>
        <w:instrText xml:space="preserve"> XE "</w:instrText>
      </w:r>
      <w:r w:rsidRPr="00811F25">
        <w:rPr>
          <w:rFonts w:ascii="Arial" w:hAnsi="Arial" w:cs="Arial"/>
          <w:b/>
          <w:bCs/>
          <w:sz w:val="24"/>
          <w:szCs w:val="24"/>
          <w:u w:val="single"/>
          <w:lang w:val="en-GB"/>
        </w:rPr>
        <w:instrText>Minister of Health</w:instrText>
      </w:r>
      <w:r w:rsidRPr="00811F25">
        <w:rPr>
          <w:rFonts w:ascii="Arial" w:hAnsi="Arial" w:cs="Arial"/>
          <w:u w:val="single"/>
        </w:rPr>
        <w:instrText xml:space="preserve">" </w:instrText>
      </w:r>
      <w:r w:rsidR="00CC5C0D" w:rsidRPr="00811F25">
        <w:rPr>
          <w:rFonts w:ascii="Arial" w:hAnsi="Arial" w:cs="Arial"/>
          <w:b/>
          <w:sz w:val="24"/>
          <w:szCs w:val="24"/>
          <w:u w:val="single"/>
          <w:lang w:val="en-GB"/>
        </w:rPr>
        <w:fldChar w:fldCharType="end"/>
      </w:r>
      <w:r w:rsidRPr="00811F25">
        <w:rPr>
          <w:rFonts w:ascii="Arial" w:hAnsi="Arial" w:cs="Arial"/>
          <w:b/>
          <w:sz w:val="24"/>
          <w:szCs w:val="24"/>
          <w:u w:val="single"/>
          <w:lang w:val="en-GB"/>
        </w:rPr>
        <w:t xml:space="preserve">: </w:t>
      </w:r>
    </w:p>
    <w:p w:rsidR="002C2A10" w:rsidRPr="00811F25" w:rsidRDefault="00811F25" w:rsidP="00447BE3">
      <w:pPr>
        <w:autoSpaceDE w:val="0"/>
        <w:autoSpaceDN w:val="0"/>
        <w:adjustRightInd w:val="0"/>
        <w:spacing w:before="100" w:beforeAutospacing="1" w:after="100" w:afterAutospacing="1" w:line="240" w:lineRule="auto"/>
        <w:jc w:val="both"/>
        <w:rPr>
          <w:rFonts w:ascii="Times New Roman" w:hAnsi="Times New Roman" w:cs="Times New Roman"/>
          <w:sz w:val="24"/>
          <w:szCs w:val="24"/>
          <w:lang w:val="en-GB"/>
        </w:rPr>
      </w:pPr>
      <w:r w:rsidRPr="00811F25">
        <w:rPr>
          <w:rFonts w:ascii="Arial" w:hAnsi="Arial" w:cs="Arial"/>
          <w:sz w:val="24"/>
          <w:szCs w:val="24"/>
          <w:lang w:val="en-GB"/>
        </w:rPr>
        <w:t xml:space="preserve">What is the (a) total number of </w:t>
      </w:r>
      <w:r w:rsidRPr="00811F25">
        <w:rPr>
          <w:rFonts w:ascii="Arial" w:hAnsi="Arial" w:cs="Arial"/>
          <w:bCs/>
          <w:sz w:val="24"/>
          <w:szCs w:val="24"/>
          <w:lang w:val="en-GB"/>
        </w:rPr>
        <w:t>children</w:t>
      </w:r>
      <w:r w:rsidRPr="00811F25">
        <w:rPr>
          <w:rFonts w:ascii="Arial" w:hAnsi="Arial" w:cs="Arial"/>
          <w:sz w:val="24"/>
          <w:szCs w:val="24"/>
          <w:lang w:val="en-GB"/>
        </w:rPr>
        <w:t xml:space="preserve"> who died in public health facilities in each province since 1 January 2013, (b) detailed breakdown of the reasons for each death and (c) number of deaths that were due to unnatural causes?</w:t>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sidR="00F63BFD">
        <w:rPr>
          <w:rFonts w:ascii="Arial" w:hAnsi="Arial" w:cs="Arial"/>
          <w:b/>
          <w:bCs/>
          <w:sz w:val="12"/>
          <w:szCs w:val="12"/>
        </w:rPr>
        <w:t>33</w:t>
      </w:r>
      <w:r>
        <w:rPr>
          <w:rFonts w:ascii="Arial" w:hAnsi="Arial" w:cs="Arial"/>
          <w:b/>
          <w:bCs/>
          <w:sz w:val="12"/>
          <w:szCs w:val="12"/>
        </w:rPr>
        <w:t>9</w:t>
      </w:r>
      <w:r w:rsidR="008C527F" w:rsidRPr="0020357C">
        <w:rPr>
          <w:rFonts w:ascii="Arial" w:hAnsi="Arial" w:cs="Arial"/>
          <w:b/>
          <w:bCs/>
          <w:sz w:val="12"/>
          <w:szCs w:val="12"/>
        </w:rPr>
        <w:t>E</w:t>
      </w:r>
    </w:p>
    <w:p w:rsidR="00686178" w:rsidRPr="00686178" w:rsidRDefault="006228AA" w:rsidP="00686178">
      <w:pPr>
        <w:spacing w:after="360" w:line="240" w:lineRule="auto"/>
        <w:ind w:right="306"/>
        <w:jc w:val="both"/>
        <w:rPr>
          <w:rFonts w:ascii="Arial" w:eastAsia="Calibri" w:hAnsi="Arial" w:cs="Arial"/>
          <w:bCs/>
          <w:sz w:val="24"/>
          <w:szCs w:val="24"/>
        </w:rPr>
      </w:pPr>
      <w:r w:rsidRPr="006228AA">
        <w:rPr>
          <w:rFonts w:ascii="Arial" w:hAnsi="Arial" w:cs="Arial"/>
          <w:b/>
          <w:bCs/>
          <w:sz w:val="24"/>
          <w:szCs w:val="24"/>
          <w:u w:val="single"/>
          <w:lang w:val="en-US"/>
        </w:rPr>
        <w:t>REPLY:</w:t>
      </w:r>
    </w:p>
    <w:p w:rsidR="00686178" w:rsidRPr="00686178" w:rsidRDefault="00686178" w:rsidP="00686178">
      <w:pPr>
        <w:pStyle w:val="BodyText"/>
        <w:numPr>
          <w:ilvl w:val="0"/>
          <w:numId w:val="17"/>
        </w:numPr>
        <w:spacing w:before="100" w:beforeAutospacing="1" w:after="100" w:afterAutospacing="1"/>
        <w:ind w:left="709" w:hanging="709"/>
        <w:rPr>
          <w:rFonts w:eastAsia="Calibri"/>
          <w:sz w:val="24"/>
        </w:rPr>
      </w:pPr>
      <w:r>
        <w:rPr>
          <w:rFonts w:eastAsia="Calibri"/>
          <w:sz w:val="24"/>
          <w:lang w:val="en-ZA"/>
        </w:rPr>
        <w:t>T</w:t>
      </w:r>
      <w:proofErr w:type="spellStart"/>
      <w:r w:rsidRPr="00686178">
        <w:rPr>
          <w:rFonts w:eastAsia="Calibri"/>
          <w:sz w:val="24"/>
        </w:rPr>
        <w:t>otal</w:t>
      </w:r>
      <w:proofErr w:type="spellEnd"/>
      <w:r w:rsidRPr="00686178">
        <w:rPr>
          <w:rFonts w:eastAsia="Calibri"/>
          <w:sz w:val="24"/>
        </w:rPr>
        <w:t xml:space="preserve"> number of </w:t>
      </w:r>
      <w:r w:rsidRPr="00686178">
        <w:rPr>
          <w:rFonts w:eastAsia="Calibri"/>
          <w:bCs/>
          <w:sz w:val="24"/>
        </w:rPr>
        <w:t>children</w:t>
      </w:r>
      <w:r w:rsidRPr="00686178">
        <w:rPr>
          <w:rFonts w:eastAsia="Calibri"/>
          <w:bCs/>
          <w:sz w:val="24"/>
          <w:lang w:val="en-ZA"/>
        </w:rPr>
        <w:t xml:space="preserve"> (0 – 59 months  )</w:t>
      </w:r>
      <w:r w:rsidRPr="00686178">
        <w:rPr>
          <w:rFonts w:eastAsia="Calibri"/>
          <w:sz w:val="24"/>
        </w:rPr>
        <w:t xml:space="preserve"> who died in public health facilities in each province since 1 January 2013</w:t>
      </w:r>
      <w:r w:rsidRPr="00686178">
        <w:rPr>
          <w:rFonts w:eastAsia="Calibri"/>
          <w:sz w:val="24"/>
          <w:lang w:val="en-ZA"/>
        </w:rPr>
        <w:t xml:space="preserve"> to December 2022 (ten years period)</w:t>
      </w:r>
    </w:p>
    <w:p w:rsidR="00686178" w:rsidRPr="00686178" w:rsidRDefault="00686178" w:rsidP="00686178">
      <w:pPr>
        <w:pStyle w:val="BodyText"/>
        <w:spacing w:before="100" w:beforeAutospacing="1" w:after="100" w:afterAutospacing="1"/>
        <w:ind w:left="709"/>
        <w:rPr>
          <w:rFonts w:eastAsia="Calibri"/>
          <w:b/>
          <w:bCs/>
          <w:sz w:val="24"/>
        </w:rPr>
      </w:pPr>
      <w:r w:rsidRPr="00686178">
        <w:rPr>
          <w:rFonts w:eastAsia="Calibri"/>
          <w:bCs/>
          <w:sz w:val="24"/>
        </w:rPr>
        <w:t>Table1: Children who died in public health facilities by province</w:t>
      </w:r>
      <w:r w:rsidRPr="00686178">
        <w:rPr>
          <w:rFonts w:eastAsia="Calibri"/>
          <w:bCs/>
          <w:i/>
          <w:iCs/>
          <w:sz w:val="24"/>
        </w:rPr>
        <w:t xml:space="preserve"> </w:t>
      </w:r>
      <w:r w:rsidRPr="00686178">
        <w:rPr>
          <w:rFonts w:eastAsia="Calibri"/>
          <w:bCs/>
          <w:sz w:val="24"/>
        </w:rPr>
        <w:t>since 1 January 2013</w:t>
      </w:r>
      <w:r w:rsidRPr="00686178">
        <w:rPr>
          <w:rFonts w:eastAsia="Calibri"/>
          <w:bCs/>
          <w:sz w:val="24"/>
          <w:lang w:val="en-ZA"/>
        </w:rPr>
        <w:t xml:space="preserve"> to December 2022 (ten years period)</w:t>
      </w:r>
    </w:p>
    <w:tbl>
      <w:tblPr>
        <w:tblW w:w="7650" w:type="dxa"/>
        <w:tblInd w:w="704" w:type="dxa"/>
        <w:tblLook w:val="04A0"/>
      </w:tblPr>
      <w:tblGrid>
        <w:gridCol w:w="5949"/>
        <w:gridCol w:w="1701"/>
      </w:tblGrid>
      <w:tr w:rsidR="00686178" w:rsidRPr="00686178" w:rsidTr="00686178">
        <w:trPr>
          <w:trHeight w:val="310"/>
        </w:trPr>
        <w:tc>
          <w:tcPr>
            <w:tcW w:w="594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686178" w:rsidRPr="00686178" w:rsidRDefault="00686178" w:rsidP="00686178">
            <w:pPr>
              <w:spacing w:line="240" w:lineRule="auto"/>
              <w:rPr>
                <w:rFonts w:ascii="Arial" w:hAnsi="Arial" w:cs="Arial"/>
                <w:b/>
                <w:bCs/>
                <w:sz w:val="24"/>
                <w:szCs w:val="24"/>
              </w:rPr>
            </w:pPr>
            <w:r w:rsidRPr="00686178">
              <w:rPr>
                <w:rFonts w:ascii="Arial" w:hAnsi="Arial" w:cs="Arial"/>
                <w:b/>
                <w:bCs/>
                <w:sz w:val="24"/>
                <w:szCs w:val="24"/>
              </w:rPr>
              <w:t>Organisation unit name</w:t>
            </w:r>
          </w:p>
        </w:tc>
        <w:tc>
          <w:tcPr>
            <w:tcW w:w="1701"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686178" w:rsidRPr="00686178" w:rsidRDefault="00686178" w:rsidP="00686178">
            <w:pPr>
              <w:spacing w:line="240" w:lineRule="auto"/>
              <w:rPr>
                <w:rFonts w:ascii="Arial" w:hAnsi="Arial" w:cs="Arial"/>
                <w:b/>
                <w:bCs/>
                <w:sz w:val="24"/>
                <w:szCs w:val="24"/>
              </w:rPr>
            </w:pPr>
            <w:r w:rsidRPr="00686178">
              <w:rPr>
                <w:rFonts w:ascii="Arial" w:hAnsi="Arial" w:cs="Arial"/>
                <w:b/>
                <w:bCs/>
                <w:sz w:val="24"/>
                <w:szCs w:val="24"/>
              </w:rPr>
              <w:t>Value</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Eastern Cape</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jc w:val="right"/>
              <w:rPr>
                <w:rFonts w:ascii="Arial" w:hAnsi="Arial" w:cs="Arial"/>
                <w:sz w:val="24"/>
                <w:szCs w:val="24"/>
              </w:rPr>
            </w:pPr>
            <w:r w:rsidRPr="00686178">
              <w:rPr>
                <w:rFonts w:ascii="Arial" w:hAnsi="Arial" w:cs="Arial"/>
                <w:sz w:val="24"/>
                <w:szCs w:val="24"/>
              </w:rPr>
              <w:t>25 189</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Free State</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jc w:val="right"/>
              <w:rPr>
                <w:rFonts w:ascii="Arial" w:hAnsi="Arial" w:cs="Arial"/>
                <w:sz w:val="24"/>
                <w:szCs w:val="24"/>
              </w:rPr>
            </w:pPr>
            <w:r w:rsidRPr="00686178">
              <w:rPr>
                <w:rFonts w:ascii="Arial" w:hAnsi="Arial" w:cs="Arial"/>
                <w:sz w:val="24"/>
                <w:szCs w:val="24"/>
              </w:rPr>
              <w:t>10 189</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Gauteng</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jc w:val="right"/>
              <w:rPr>
                <w:rFonts w:ascii="Arial" w:hAnsi="Arial" w:cs="Arial"/>
                <w:sz w:val="24"/>
                <w:szCs w:val="24"/>
              </w:rPr>
            </w:pPr>
            <w:r w:rsidRPr="00686178">
              <w:rPr>
                <w:rFonts w:ascii="Arial" w:hAnsi="Arial" w:cs="Arial"/>
                <w:sz w:val="24"/>
                <w:szCs w:val="24"/>
              </w:rPr>
              <w:t>38 243</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KwaZulu-Natal</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jc w:val="right"/>
              <w:rPr>
                <w:rFonts w:ascii="Arial" w:hAnsi="Arial" w:cs="Arial"/>
                <w:sz w:val="24"/>
                <w:szCs w:val="24"/>
              </w:rPr>
            </w:pPr>
            <w:r w:rsidRPr="00686178">
              <w:rPr>
                <w:rFonts w:ascii="Arial" w:hAnsi="Arial" w:cs="Arial"/>
                <w:sz w:val="24"/>
                <w:szCs w:val="24"/>
              </w:rPr>
              <w:t>38 711</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Limpopo</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jc w:val="right"/>
              <w:rPr>
                <w:rFonts w:ascii="Arial" w:hAnsi="Arial" w:cs="Arial"/>
                <w:sz w:val="24"/>
                <w:szCs w:val="24"/>
              </w:rPr>
            </w:pPr>
            <w:r w:rsidRPr="00686178">
              <w:rPr>
                <w:rFonts w:ascii="Arial" w:hAnsi="Arial" w:cs="Arial"/>
                <w:sz w:val="24"/>
                <w:szCs w:val="24"/>
              </w:rPr>
              <w:t>24 744</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Mpumalanga</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jc w:val="right"/>
              <w:rPr>
                <w:rFonts w:ascii="Arial" w:hAnsi="Arial" w:cs="Arial"/>
                <w:sz w:val="24"/>
                <w:szCs w:val="24"/>
              </w:rPr>
            </w:pPr>
            <w:r w:rsidRPr="00686178">
              <w:rPr>
                <w:rFonts w:ascii="Arial" w:hAnsi="Arial" w:cs="Arial"/>
                <w:sz w:val="24"/>
                <w:szCs w:val="24"/>
              </w:rPr>
              <w:t>14 226</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Northern Cape</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jc w:val="right"/>
              <w:rPr>
                <w:rFonts w:ascii="Arial" w:hAnsi="Arial" w:cs="Arial"/>
                <w:sz w:val="24"/>
                <w:szCs w:val="24"/>
              </w:rPr>
            </w:pPr>
            <w:r w:rsidRPr="00686178">
              <w:rPr>
                <w:rFonts w:ascii="Arial" w:hAnsi="Arial" w:cs="Arial"/>
                <w:sz w:val="24"/>
                <w:szCs w:val="24"/>
              </w:rPr>
              <w:t>5 107</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North West</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jc w:val="right"/>
              <w:rPr>
                <w:rFonts w:ascii="Arial" w:hAnsi="Arial" w:cs="Arial"/>
                <w:sz w:val="24"/>
                <w:szCs w:val="24"/>
              </w:rPr>
            </w:pPr>
            <w:r w:rsidRPr="00686178">
              <w:rPr>
                <w:rFonts w:ascii="Arial" w:hAnsi="Arial" w:cs="Arial"/>
                <w:sz w:val="24"/>
                <w:szCs w:val="24"/>
              </w:rPr>
              <w:t>10 300</w:t>
            </w:r>
          </w:p>
        </w:tc>
      </w:tr>
      <w:tr w:rsidR="00686178" w:rsidRPr="00686178" w:rsidTr="00686178">
        <w:trPr>
          <w:trHeight w:val="31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686178" w:rsidRPr="00686178" w:rsidRDefault="00686178" w:rsidP="00686178">
            <w:pPr>
              <w:spacing w:line="240" w:lineRule="auto"/>
              <w:rPr>
                <w:rFonts w:ascii="Arial" w:hAnsi="Arial" w:cs="Arial"/>
                <w:sz w:val="24"/>
                <w:szCs w:val="24"/>
              </w:rPr>
            </w:pPr>
            <w:r w:rsidRPr="00686178">
              <w:rPr>
                <w:rFonts w:ascii="Arial" w:hAnsi="Arial" w:cs="Arial"/>
                <w:sz w:val="24"/>
                <w:szCs w:val="24"/>
              </w:rPr>
              <w:t>Western Cape</w:t>
            </w:r>
          </w:p>
        </w:tc>
        <w:tc>
          <w:tcPr>
            <w:tcW w:w="1701" w:type="dxa"/>
            <w:tcBorders>
              <w:top w:val="nil"/>
              <w:left w:val="nil"/>
              <w:bottom w:val="single" w:sz="4" w:space="0" w:color="auto"/>
              <w:right w:val="single" w:sz="4" w:space="0" w:color="auto"/>
            </w:tcBorders>
            <w:shd w:val="clear" w:color="auto" w:fill="auto"/>
            <w:noWrap/>
            <w:vAlign w:val="bottom"/>
            <w:hideMark/>
          </w:tcPr>
          <w:p w:rsidR="00686178" w:rsidRPr="00686178" w:rsidRDefault="00686178" w:rsidP="00686178">
            <w:pPr>
              <w:pStyle w:val="ListParagraph"/>
              <w:numPr>
                <w:ilvl w:val="0"/>
                <w:numId w:val="19"/>
              </w:numPr>
              <w:spacing w:after="0" w:line="240" w:lineRule="auto"/>
              <w:contextualSpacing w:val="0"/>
              <w:jc w:val="right"/>
              <w:rPr>
                <w:rFonts w:ascii="Arial" w:hAnsi="Arial" w:cs="Arial"/>
                <w:sz w:val="24"/>
                <w:szCs w:val="24"/>
              </w:rPr>
            </w:pPr>
            <w:r w:rsidRPr="00686178">
              <w:rPr>
                <w:rFonts w:ascii="Arial" w:hAnsi="Arial" w:cs="Arial"/>
                <w:sz w:val="24"/>
                <w:szCs w:val="24"/>
              </w:rPr>
              <w:t>736</w:t>
            </w:r>
          </w:p>
        </w:tc>
      </w:tr>
    </w:tbl>
    <w:p w:rsidR="00686178" w:rsidRPr="00686178" w:rsidRDefault="00686178" w:rsidP="00686178">
      <w:pPr>
        <w:pStyle w:val="BodyText"/>
        <w:ind w:firstLine="720"/>
        <w:rPr>
          <w:rFonts w:eastAsia="Calibri"/>
          <w:sz w:val="24"/>
        </w:rPr>
      </w:pPr>
      <w:r w:rsidRPr="00686178">
        <w:rPr>
          <w:rFonts w:eastAsia="Calibri"/>
          <w:bCs/>
          <w:i/>
          <w:iCs/>
          <w:sz w:val="24"/>
        </w:rPr>
        <w:t>Source DHIS</w:t>
      </w:r>
    </w:p>
    <w:p w:rsidR="00686178" w:rsidRPr="00686178" w:rsidRDefault="00686178" w:rsidP="00686178">
      <w:pPr>
        <w:pStyle w:val="BodyText"/>
        <w:spacing w:before="100" w:beforeAutospacing="1" w:after="100" w:afterAutospacing="1"/>
        <w:ind w:left="709" w:hanging="709"/>
        <w:rPr>
          <w:rFonts w:eastAsia="Calibri"/>
          <w:sz w:val="24"/>
        </w:rPr>
      </w:pPr>
      <w:r w:rsidRPr="00686178">
        <w:rPr>
          <w:rFonts w:eastAsia="Calibri"/>
          <w:sz w:val="24"/>
          <w:lang w:val="en-ZA"/>
        </w:rPr>
        <w:t>(b)</w:t>
      </w:r>
      <w:r w:rsidRPr="00686178">
        <w:rPr>
          <w:rFonts w:eastAsia="Calibri"/>
          <w:sz w:val="24"/>
        </w:rPr>
        <w:t xml:space="preserve"> </w:t>
      </w:r>
      <w:r w:rsidRPr="00686178">
        <w:rPr>
          <w:rFonts w:eastAsia="Calibri"/>
          <w:sz w:val="24"/>
          <w:lang w:val="en-ZA"/>
        </w:rPr>
        <w:t xml:space="preserve"> </w:t>
      </w:r>
      <w:r>
        <w:rPr>
          <w:rFonts w:eastAsia="Calibri"/>
          <w:sz w:val="24"/>
          <w:lang w:val="en-ZA"/>
        </w:rPr>
        <w:tab/>
      </w:r>
      <w:r w:rsidRPr="00686178">
        <w:rPr>
          <w:rFonts w:eastAsia="Calibri"/>
          <w:sz w:val="24"/>
          <w:lang w:val="en-ZA"/>
        </w:rPr>
        <w:t>D</w:t>
      </w:r>
      <w:proofErr w:type="spellStart"/>
      <w:r w:rsidRPr="00686178">
        <w:rPr>
          <w:rFonts w:eastAsia="Calibri"/>
          <w:sz w:val="24"/>
        </w:rPr>
        <w:t>etailed</w:t>
      </w:r>
      <w:proofErr w:type="spellEnd"/>
      <w:r w:rsidRPr="00686178">
        <w:rPr>
          <w:rFonts w:eastAsia="Calibri"/>
          <w:sz w:val="24"/>
        </w:rPr>
        <w:t xml:space="preserve"> breakdown of the reasons for each death </w:t>
      </w:r>
    </w:p>
    <w:p w:rsidR="00686178" w:rsidRPr="00686178" w:rsidRDefault="00686178" w:rsidP="00686178">
      <w:pPr>
        <w:pStyle w:val="BodyText"/>
        <w:spacing w:before="100" w:beforeAutospacing="1" w:after="100" w:afterAutospacing="1"/>
        <w:ind w:left="709"/>
        <w:rPr>
          <w:rFonts w:eastAsia="Calibri"/>
          <w:b/>
          <w:bCs/>
          <w:sz w:val="24"/>
          <w:lang w:val="en-ZA"/>
        </w:rPr>
      </w:pPr>
      <w:r w:rsidRPr="00686178">
        <w:rPr>
          <w:rFonts w:eastAsia="Calibri"/>
          <w:bCs/>
          <w:sz w:val="24"/>
          <w:lang w:val="en-ZA"/>
        </w:rPr>
        <w:t>Provision of individual cause of children’s death to the house contravenes section35 of the Protection of personal information Act (POPIA), aggregated data on common causes of deaths in children are diarrhoea and pneumonia, including the underlying causes such as severe and moderate acute malnutrition, are collected routinely through the district health information system.</w:t>
      </w:r>
    </w:p>
    <w:p w:rsidR="00686178" w:rsidRPr="00686178" w:rsidRDefault="00686178" w:rsidP="00686178">
      <w:pPr>
        <w:spacing w:line="240" w:lineRule="auto"/>
        <w:rPr>
          <w:rFonts w:ascii="Arial" w:eastAsia="Calibri" w:hAnsi="Arial" w:cs="Arial"/>
          <w:bCs/>
          <w:sz w:val="24"/>
          <w:szCs w:val="24"/>
          <w:lang/>
        </w:rPr>
      </w:pPr>
      <w:r w:rsidRPr="00686178">
        <w:rPr>
          <w:rFonts w:ascii="Arial" w:eastAsia="Calibri" w:hAnsi="Arial" w:cs="Arial"/>
          <w:b/>
          <w:bCs/>
          <w:sz w:val="24"/>
          <w:szCs w:val="24"/>
        </w:rPr>
        <w:br w:type="page"/>
      </w:r>
    </w:p>
    <w:p w:rsidR="00686178" w:rsidRPr="00686178" w:rsidRDefault="00686178" w:rsidP="00686178">
      <w:pPr>
        <w:spacing w:line="240" w:lineRule="auto"/>
        <w:ind w:left="709"/>
        <w:rPr>
          <w:rFonts w:ascii="Arial" w:hAnsi="Arial" w:cs="Arial"/>
          <w:sz w:val="24"/>
          <w:szCs w:val="24"/>
          <w:lang w:eastAsia="en-ZA"/>
        </w:rPr>
      </w:pPr>
      <w:r w:rsidRPr="00686178">
        <w:rPr>
          <w:rFonts w:ascii="Arial" w:hAnsi="Arial" w:cs="Arial"/>
          <w:sz w:val="24"/>
          <w:szCs w:val="24"/>
          <w:lang w:eastAsia="en-ZA"/>
        </w:rPr>
        <w:lastRenderedPageBreak/>
        <w:t>Table 2: Causes and underlying causes of deaths from 1</w:t>
      </w:r>
      <w:r w:rsidRPr="00686178">
        <w:rPr>
          <w:rFonts w:ascii="Arial" w:hAnsi="Arial" w:cs="Arial"/>
          <w:sz w:val="24"/>
          <w:szCs w:val="24"/>
          <w:vertAlign w:val="superscript"/>
          <w:lang w:eastAsia="en-ZA"/>
        </w:rPr>
        <w:t>st</w:t>
      </w:r>
      <w:r w:rsidRPr="00686178">
        <w:rPr>
          <w:rFonts w:ascii="Arial" w:hAnsi="Arial" w:cs="Arial"/>
          <w:sz w:val="24"/>
          <w:szCs w:val="24"/>
          <w:lang w:eastAsia="en-ZA"/>
        </w:rPr>
        <w:t xml:space="preserve"> January 2013 to 31</w:t>
      </w:r>
      <w:r w:rsidRPr="00686178">
        <w:rPr>
          <w:rFonts w:ascii="Arial" w:hAnsi="Arial" w:cs="Arial"/>
          <w:sz w:val="24"/>
          <w:szCs w:val="24"/>
          <w:vertAlign w:val="superscript"/>
          <w:lang w:eastAsia="en-ZA"/>
        </w:rPr>
        <w:t>st</w:t>
      </w:r>
      <w:r w:rsidRPr="00686178">
        <w:rPr>
          <w:rFonts w:ascii="Arial" w:hAnsi="Arial" w:cs="Arial"/>
          <w:sz w:val="24"/>
          <w:szCs w:val="24"/>
          <w:lang w:eastAsia="en-ZA"/>
        </w:rPr>
        <w:t xml:space="preserve"> December 2022</w:t>
      </w:r>
    </w:p>
    <w:tbl>
      <w:tblPr>
        <w:tblStyle w:val="TableGrid3"/>
        <w:tblW w:w="9214" w:type="dxa"/>
        <w:tblInd w:w="704" w:type="dxa"/>
        <w:tblLook w:val="04A0"/>
      </w:tblPr>
      <w:tblGrid>
        <w:gridCol w:w="8080"/>
        <w:gridCol w:w="1134"/>
      </w:tblGrid>
      <w:tr w:rsidR="00686178" w:rsidRPr="00686178" w:rsidTr="00686178">
        <w:trPr>
          <w:trHeight w:val="260"/>
        </w:trPr>
        <w:tc>
          <w:tcPr>
            <w:tcW w:w="8080" w:type="dxa"/>
            <w:shd w:val="clear" w:color="auto" w:fill="C5E0B3" w:themeFill="accent6" w:themeFillTint="66"/>
            <w:noWrap/>
            <w:hideMark/>
          </w:tcPr>
          <w:p w:rsidR="00686178" w:rsidRPr="00686178" w:rsidRDefault="00686178" w:rsidP="00686178">
            <w:pPr>
              <w:spacing w:after="160"/>
              <w:rPr>
                <w:rFonts w:ascii="Arial" w:hAnsi="Arial" w:cs="Arial"/>
                <w:b/>
                <w:bCs/>
                <w:sz w:val="24"/>
                <w:szCs w:val="24"/>
              </w:rPr>
            </w:pPr>
            <w:r w:rsidRPr="00686178">
              <w:rPr>
                <w:rFonts w:ascii="Arial" w:hAnsi="Arial" w:cs="Arial"/>
                <w:b/>
                <w:bCs/>
                <w:sz w:val="24"/>
                <w:szCs w:val="24"/>
              </w:rPr>
              <w:t>Data name</w:t>
            </w:r>
          </w:p>
        </w:tc>
        <w:tc>
          <w:tcPr>
            <w:tcW w:w="1134" w:type="dxa"/>
            <w:shd w:val="clear" w:color="auto" w:fill="C5E0B3" w:themeFill="accent6" w:themeFillTint="66"/>
            <w:noWrap/>
            <w:hideMark/>
          </w:tcPr>
          <w:p w:rsidR="00686178" w:rsidRPr="00686178" w:rsidRDefault="00686178" w:rsidP="00686178">
            <w:pPr>
              <w:rPr>
                <w:rFonts w:ascii="Arial" w:hAnsi="Arial" w:cs="Arial"/>
                <w:sz w:val="24"/>
                <w:szCs w:val="24"/>
              </w:rPr>
            </w:pPr>
            <w:r w:rsidRPr="00686178">
              <w:rPr>
                <w:rFonts w:ascii="Arial" w:hAnsi="Arial" w:cs="Arial"/>
                <w:b/>
                <w:bCs/>
                <w:sz w:val="24"/>
                <w:szCs w:val="24"/>
              </w:rPr>
              <w:t>TOTA</w:t>
            </w:r>
            <w:r w:rsidRPr="00686178">
              <w:rPr>
                <w:rFonts w:ascii="Arial" w:hAnsi="Arial" w:cs="Arial"/>
                <w:sz w:val="24"/>
                <w:szCs w:val="24"/>
              </w:rPr>
              <w:t>L</w:t>
            </w:r>
          </w:p>
        </w:tc>
      </w:tr>
      <w:tr w:rsidR="00686178" w:rsidRPr="00686178" w:rsidTr="00686178">
        <w:trPr>
          <w:trHeight w:val="260"/>
        </w:trPr>
        <w:tc>
          <w:tcPr>
            <w:tcW w:w="8080" w:type="dxa"/>
            <w:noWrap/>
            <w:hideMark/>
          </w:tcPr>
          <w:p w:rsidR="00686178" w:rsidRPr="00686178" w:rsidRDefault="00686178" w:rsidP="00686178">
            <w:pPr>
              <w:spacing w:after="160"/>
              <w:rPr>
                <w:rFonts w:ascii="Arial" w:hAnsi="Arial" w:cs="Arial"/>
                <w:sz w:val="24"/>
                <w:szCs w:val="24"/>
              </w:rPr>
            </w:pPr>
            <w:r w:rsidRPr="00686178">
              <w:rPr>
                <w:rFonts w:ascii="Arial" w:hAnsi="Arial" w:cs="Arial"/>
                <w:sz w:val="24"/>
                <w:szCs w:val="24"/>
              </w:rPr>
              <w:t>Pneumonia death under 5 years</w:t>
            </w:r>
          </w:p>
        </w:tc>
        <w:tc>
          <w:tcPr>
            <w:tcW w:w="1134" w:type="dxa"/>
            <w:noWrap/>
            <w:hideMark/>
          </w:tcPr>
          <w:p w:rsidR="00686178" w:rsidRPr="00686178" w:rsidRDefault="00686178" w:rsidP="00686178">
            <w:pPr>
              <w:rPr>
                <w:rFonts w:ascii="Arial" w:hAnsi="Arial" w:cs="Arial"/>
                <w:b/>
                <w:bCs/>
                <w:sz w:val="24"/>
                <w:szCs w:val="24"/>
              </w:rPr>
            </w:pPr>
            <w:r w:rsidRPr="00686178">
              <w:rPr>
                <w:rFonts w:ascii="Arial" w:hAnsi="Arial" w:cs="Arial"/>
                <w:b/>
                <w:bCs/>
                <w:sz w:val="24"/>
                <w:szCs w:val="24"/>
              </w:rPr>
              <w:t>10,216</w:t>
            </w:r>
          </w:p>
        </w:tc>
      </w:tr>
      <w:tr w:rsidR="00686178" w:rsidRPr="00686178" w:rsidTr="00686178">
        <w:trPr>
          <w:trHeight w:val="449"/>
        </w:trPr>
        <w:tc>
          <w:tcPr>
            <w:tcW w:w="8080" w:type="dxa"/>
            <w:noWrap/>
            <w:hideMark/>
          </w:tcPr>
          <w:p w:rsidR="00686178" w:rsidRPr="00686178" w:rsidRDefault="00686178" w:rsidP="00686178">
            <w:pPr>
              <w:rPr>
                <w:rFonts w:ascii="Arial" w:hAnsi="Arial" w:cs="Arial"/>
                <w:sz w:val="24"/>
                <w:szCs w:val="24"/>
              </w:rPr>
            </w:pPr>
            <w:r w:rsidRPr="00686178">
              <w:rPr>
                <w:rFonts w:ascii="Arial" w:hAnsi="Arial" w:cs="Arial"/>
                <w:sz w:val="24"/>
                <w:szCs w:val="24"/>
              </w:rPr>
              <w:t>Diarrhoea death under 5 years</w:t>
            </w:r>
          </w:p>
          <w:p w:rsidR="00686178" w:rsidRPr="00686178" w:rsidRDefault="00686178" w:rsidP="00686178">
            <w:pPr>
              <w:rPr>
                <w:rFonts w:ascii="Arial" w:hAnsi="Arial" w:cs="Arial"/>
                <w:sz w:val="24"/>
                <w:szCs w:val="24"/>
              </w:rPr>
            </w:pPr>
          </w:p>
        </w:tc>
        <w:tc>
          <w:tcPr>
            <w:tcW w:w="1134" w:type="dxa"/>
            <w:noWrap/>
            <w:hideMark/>
          </w:tcPr>
          <w:p w:rsidR="00686178" w:rsidRPr="00686178" w:rsidRDefault="00686178" w:rsidP="00686178">
            <w:pPr>
              <w:rPr>
                <w:rFonts w:ascii="Arial" w:hAnsi="Arial" w:cs="Arial"/>
                <w:b/>
                <w:bCs/>
                <w:sz w:val="24"/>
                <w:szCs w:val="24"/>
              </w:rPr>
            </w:pPr>
            <w:r w:rsidRPr="00686178">
              <w:rPr>
                <w:rFonts w:ascii="Arial" w:hAnsi="Arial" w:cs="Arial"/>
                <w:b/>
                <w:bCs/>
                <w:sz w:val="24"/>
                <w:szCs w:val="24"/>
              </w:rPr>
              <w:t>9491</w:t>
            </w:r>
          </w:p>
        </w:tc>
      </w:tr>
      <w:tr w:rsidR="00686178" w:rsidRPr="00686178" w:rsidTr="00686178">
        <w:trPr>
          <w:trHeight w:val="426"/>
        </w:trPr>
        <w:tc>
          <w:tcPr>
            <w:tcW w:w="8080" w:type="dxa"/>
            <w:noWrap/>
            <w:hideMark/>
          </w:tcPr>
          <w:p w:rsidR="00686178" w:rsidRPr="00686178" w:rsidRDefault="00686178" w:rsidP="00686178">
            <w:pPr>
              <w:rPr>
                <w:rFonts w:ascii="Arial" w:hAnsi="Arial" w:cs="Arial"/>
                <w:sz w:val="24"/>
                <w:szCs w:val="24"/>
              </w:rPr>
            </w:pPr>
            <w:r w:rsidRPr="00686178">
              <w:rPr>
                <w:rFonts w:ascii="Arial" w:hAnsi="Arial" w:cs="Arial"/>
                <w:sz w:val="24"/>
                <w:szCs w:val="24"/>
              </w:rPr>
              <w:t xml:space="preserve">Moderate acute malnutrition death under 5 years </w:t>
            </w:r>
          </w:p>
          <w:p w:rsidR="00686178" w:rsidRPr="00686178" w:rsidRDefault="00686178" w:rsidP="00686178">
            <w:pPr>
              <w:rPr>
                <w:rFonts w:ascii="Arial" w:hAnsi="Arial" w:cs="Arial"/>
                <w:sz w:val="24"/>
                <w:szCs w:val="24"/>
              </w:rPr>
            </w:pPr>
          </w:p>
        </w:tc>
        <w:tc>
          <w:tcPr>
            <w:tcW w:w="1134" w:type="dxa"/>
            <w:noWrap/>
            <w:hideMark/>
          </w:tcPr>
          <w:p w:rsidR="00686178" w:rsidRPr="00686178" w:rsidRDefault="00686178" w:rsidP="00686178">
            <w:pPr>
              <w:rPr>
                <w:rFonts w:ascii="Arial" w:hAnsi="Arial" w:cs="Arial"/>
                <w:b/>
                <w:bCs/>
                <w:sz w:val="24"/>
                <w:szCs w:val="24"/>
              </w:rPr>
            </w:pPr>
            <w:r w:rsidRPr="00686178">
              <w:rPr>
                <w:rFonts w:ascii="Arial" w:hAnsi="Arial" w:cs="Arial"/>
                <w:b/>
                <w:bCs/>
                <w:sz w:val="24"/>
                <w:szCs w:val="24"/>
              </w:rPr>
              <w:t>1410</w:t>
            </w:r>
          </w:p>
        </w:tc>
      </w:tr>
      <w:tr w:rsidR="00686178" w:rsidRPr="00686178" w:rsidTr="00686178">
        <w:trPr>
          <w:trHeight w:val="260"/>
        </w:trPr>
        <w:tc>
          <w:tcPr>
            <w:tcW w:w="8080" w:type="dxa"/>
            <w:noWrap/>
            <w:hideMark/>
          </w:tcPr>
          <w:p w:rsidR="00686178" w:rsidRPr="00686178" w:rsidRDefault="00686178" w:rsidP="00686178">
            <w:pPr>
              <w:rPr>
                <w:rFonts w:ascii="Arial" w:hAnsi="Arial" w:cs="Arial"/>
                <w:sz w:val="24"/>
                <w:szCs w:val="24"/>
              </w:rPr>
            </w:pPr>
            <w:r w:rsidRPr="00686178">
              <w:rPr>
                <w:rFonts w:ascii="Arial" w:hAnsi="Arial" w:cs="Arial"/>
                <w:sz w:val="24"/>
                <w:szCs w:val="24"/>
              </w:rPr>
              <w:t>Severe acute malnutrition death under 5 years</w:t>
            </w:r>
          </w:p>
          <w:p w:rsidR="00686178" w:rsidRPr="00686178" w:rsidRDefault="00686178" w:rsidP="00686178">
            <w:pPr>
              <w:rPr>
                <w:rFonts w:ascii="Arial" w:hAnsi="Arial" w:cs="Arial"/>
                <w:sz w:val="24"/>
                <w:szCs w:val="24"/>
              </w:rPr>
            </w:pPr>
          </w:p>
          <w:p w:rsidR="00686178" w:rsidRPr="00686178" w:rsidRDefault="00686178" w:rsidP="00686178">
            <w:pPr>
              <w:rPr>
                <w:rFonts w:ascii="Arial" w:hAnsi="Arial" w:cs="Arial"/>
                <w:sz w:val="24"/>
                <w:szCs w:val="24"/>
              </w:rPr>
            </w:pPr>
          </w:p>
        </w:tc>
        <w:tc>
          <w:tcPr>
            <w:tcW w:w="1134" w:type="dxa"/>
            <w:noWrap/>
            <w:hideMark/>
          </w:tcPr>
          <w:p w:rsidR="00686178" w:rsidRPr="00686178" w:rsidRDefault="00686178" w:rsidP="00686178">
            <w:pPr>
              <w:rPr>
                <w:rFonts w:ascii="Arial" w:hAnsi="Arial" w:cs="Arial"/>
                <w:b/>
                <w:bCs/>
                <w:sz w:val="24"/>
                <w:szCs w:val="24"/>
              </w:rPr>
            </w:pPr>
            <w:r w:rsidRPr="00686178">
              <w:rPr>
                <w:rFonts w:ascii="Arial" w:hAnsi="Arial" w:cs="Arial"/>
                <w:b/>
                <w:bCs/>
                <w:sz w:val="24"/>
                <w:szCs w:val="24"/>
              </w:rPr>
              <w:t>11172</w:t>
            </w:r>
          </w:p>
        </w:tc>
      </w:tr>
    </w:tbl>
    <w:p w:rsidR="00686178" w:rsidRPr="00686178" w:rsidRDefault="00686178" w:rsidP="00686178">
      <w:pPr>
        <w:pStyle w:val="BodyText"/>
        <w:ind w:firstLine="720"/>
        <w:rPr>
          <w:rFonts w:eastAsia="Calibri"/>
          <w:b/>
          <w:bCs/>
          <w:i/>
          <w:iCs/>
          <w:sz w:val="24"/>
          <w:lang w:val="en-ZA"/>
        </w:rPr>
      </w:pPr>
      <w:r w:rsidRPr="00686178">
        <w:rPr>
          <w:bCs/>
          <w:i/>
          <w:iCs/>
          <w:sz w:val="24"/>
          <w:lang w:val="en-ZA" w:eastAsia="en-ZA"/>
        </w:rPr>
        <w:t>Source DHIS</w:t>
      </w:r>
    </w:p>
    <w:p w:rsidR="00686178" w:rsidRPr="00686178" w:rsidRDefault="00686178" w:rsidP="00686178">
      <w:pPr>
        <w:pStyle w:val="BodyText"/>
        <w:spacing w:before="100" w:beforeAutospacing="1" w:after="100" w:afterAutospacing="1"/>
        <w:ind w:left="709" w:hanging="709"/>
        <w:rPr>
          <w:rFonts w:eastAsia="Calibri"/>
          <w:sz w:val="24"/>
        </w:rPr>
      </w:pPr>
      <w:r w:rsidRPr="00686178">
        <w:rPr>
          <w:rFonts w:eastAsia="Calibri"/>
          <w:sz w:val="24"/>
          <w:lang w:val="en-ZA"/>
        </w:rPr>
        <w:t xml:space="preserve">(c)  </w:t>
      </w:r>
      <w:r>
        <w:rPr>
          <w:rFonts w:eastAsia="Calibri"/>
          <w:sz w:val="24"/>
          <w:lang w:val="en-ZA"/>
        </w:rPr>
        <w:tab/>
      </w:r>
      <w:r w:rsidRPr="00686178">
        <w:rPr>
          <w:rFonts w:eastAsia="Calibri"/>
          <w:sz w:val="24"/>
          <w:lang w:val="en-ZA"/>
        </w:rPr>
        <w:t>N</w:t>
      </w:r>
      <w:proofErr w:type="spellStart"/>
      <w:r w:rsidRPr="00686178">
        <w:rPr>
          <w:rFonts w:eastAsia="Calibri"/>
          <w:sz w:val="24"/>
        </w:rPr>
        <w:t>umber</w:t>
      </w:r>
      <w:proofErr w:type="spellEnd"/>
      <w:r w:rsidRPr="00686178">
        <w:rPr>
          <w:rFonts w:eastAsia="Calibri"/>
          <w:sz w:val="24"/>
        </w:rPr>
        <w:t xml:space="preserve"> of deaths that were due to unnatural causes?</w:t>
      </w:r>
    </w:p>
    <w:p w:rsidR="00686178" w:rsidRPr="00686178" w:rsidRDefault="00686178" w:rsidP="00686178">
      <w:pPr>
        <w:pStyle w:val="BodyText"/>
        <w:spacing w:before="100" w:beforeAutospacing="1" w:after="100" w:afterAutospacing="1"/>
        <w:ind w:left="709"/>
        <w:rPr>
          <w:rFonts w:eastAsia="Calibri"/>
          <w:b/>
          <w:bCs/>
          <w:sz w:val="24"/>
          <w:lang w:val="en-ZA"/>
        </w:rPr>
      </w:pPr>
      <w:r w:rsidRPr="00686178">
        <w:rPr>
          <w:rFonts w:eastAsia="Calibri"/>
          <w:bCs/>
          <w:sz w:val="24"/>
          <w:lang w:val="en-ZA"/>
        </w:rPr>
        <w:t xml:space="preserve">Number of child deaths due to unnatural causes </w:t>
      </w:r>
      <w:r w:rsidRPr="00686178">
        <w:rPr>
          <w:rFonts w:eastAsia="Calibri"/>
          <w:bCs/>
          <w:sz w:val="24"/>
        </w:rPr>
        <w:t>in public health facilities</w:t>
      </w:r>
      <w:r w:rsidRPr="00686178">
        <w:rPr>
          <w:rFonts w:eastAsia="Calibri"/>
          <w:bCs/>
          <w:sz w:val="24"/>
          <w:lang w:val="en-ZA"/>
        </w:rPr>
        <w:t xml:space="preserve"> may not project accurate picture across the country as final causes are documented following the forensic report analysis. Statistics South Africa, Home Affairs and South African Police Service provides accurate information as shown in the table below.</w:t>
      </w:r>
    </w:p>
    <w:p w:rsidR="00686178" w:rsidRPr="00686178" w:rsidRDefault="00686178" w:rsidP="00686178">
      <w:pPr>
        <w:pStyle w:val="BodyText"/>
        <w:ind w:firstLine="709"/>
        <w:rPr>
          <w:rFonts w:eastAsia="Calibri"/>
          <w:b/>
          <w:bCs/>
          <w:sz w:val="24"/>
          <w:lang w:val="en-ZA"/>
        </w:rPr>
      </w:pPr>
      <w:r w:rsidRPr="00686178">
        <w:rPr>
          <w:rFonts w:eastAsia="Calibri"/>
          <w:bCs/>
          <w:sz w:val="24"/>
          <w:lang w:val="en-ZA"/>
        </w:rPr>
        <w:t>Table 7: Non-natural deaths from 2013 to 2018</w:t>
      </w:r>
    </w:p>
    <w:tbl>
      <w:tblPr>
        <w:tblW w:w="0" w:type="auto"/>
        <w:tblInd w:w="699" w:type="dxa"/>
        <w:shd w:val="clear" w:color="auto" w:fill="FFFFFF"/>
        <w:tblCellMar>
          <w:left w:w="0" w:type="dxa"/>
          <w:right w:w="0" w:type="dxa"/>
        </w:tblCellMar>
        <w:tblLook w:val="04A0"/>
      </w:tblPr>
      <w:tblGrid>
        <w:gridCol w:w="805"/>
        <w:gridCol w:w="3721"/>
        <w:gridCol w:w="2410"/>
      </w:tblGrid>
      <w:tr w:rsidR="00686178" w:rsidRPr="00686178" w:rsidTr="00686178">
        <w:tc>
          <w:tcPr>
            <w:tcW w:w="805"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b/>
                <w:bCs/>
              </w:rPr>
            </w:pPr>
            <w:r w:rsidRPr="00686178">
              <w:rPr>
                <w:rFonts w:ascii="Arial" w:hAnsi="Arial" w:cs="Arial"/>
                <w:b/>
                <w:bCs/>
                <w:bdr w:val="none" w:sz="0" w:space="0" w:color="auto" w:frame="1"/>
              </w:rPr>
              <w:t>Year</w:t>
            </w:r>
          </w:p>
        </w:tc>
        <w:tc>
          <w:tcPr>
            <w:tcW w:w="3721"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b/>
                <w:bCs/>
              </w:rPr>
            </w:pPr>
            <w:r w:rsidRPr="00686178">
              <w:rPr>
                <w:rFonts w:ascii="Arial" w:hAnsi="Arial" w:cs="Arial"/>
                <w:b/>
                <w:bCs/>
                <w:bdr w:val="none" w:sz="0" w:space="0" w:color="auto" w:frame="1"/>
              </w:rPr>
              <w:t>Non-natural deaths</w:t>
            </w:r>
          </w:p>
        </w:tc>
        <w:tc>
          <w:tcPr>
            <w:tcW w:w="241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b/>
                <w:bCs/>
              </w:rPr>
            </w:pPr>
            <w:r w:rsidRPr="00686178">
              <w:rPr>
                <w:rFonts w:ascii="Arial" w:hAnsi="Arial" w:cs="Arial"/>
                <w:b/>
                <w:bCs/>
                <w:bdr w:val="none" w:sz="0" w:space="0" w:color="auto" w:frame="1"/>
              </w:rPr>
              <w:t>% under-5 deaths</w:t>
            </w:r>
          </w:p>
        </w:tc>
      </w:tr>
      <w:tr w:rsidR="00686178" w:rsidRPr="00686178" w:rsidTr="00686178">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rPr>
            </w:pPr>
            <w:r w:rsidRPr="00686178">
              <w:rPr>
                <w:rFonts w:ascii="Arial" w:hAnsi="Arial" w:cs="Arial"/>
                <w:bdr w:val="none" w:sz="0" w:space="0" w:color="auto" w:frame="1"/>
              </w:rPr>
              <w:t>2013</w:t>
            </w:r>
          </w:p>
        </w:tc>
        <w:tc>
          <w:tcPr>
            <w:tcW w:w="3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2 452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7.0</w:t>
            </w:r>
          </w:p>
        </w:tc>
      </w:tr>
      <w:tr w:rsidR="00686178" w:rsidRPr="00686178" w:rsidTr="00686178">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rPr>
            </w:pPr>
            <w:r w:rsidRPr="00686178">
              <w:rPr>
                <w:rFonts w:ascii="Arial" w:hAnsi="Arial" w:cs="Arial"/>
                <w:bdr w:val="none" w:sz="0" w:space="0" w:color="auto" w:frame="1"/>
              </w:rPr>
              <w:t>2014</w:t>
            </w:r>
          </w:p>
        </w:tc>
        <w:tc>
          <w:tcPr>
            <w:tcW w:w="3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2 496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7.3</w:t>
            </w:r>
          </w:p>
        </w:tc>
      </w:tr>
      <w:tr w:rsidR="00686178" w:rsidRPr="00686178" w:rsidTr="00686178">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rPr>
            </w:pPr>
            <w:r w:rsidRPr="00686178">
              <w:rPr>
                <w:rFonts w:ascii="Arial" w:hAnsi="Arial" w:cs="Arial"/>
                <w:bdr w:val="none" w:sz="0" w:space="0" w:color="auto" w:frame="1"/>
              </w:rPr>
              <w:t>2015</w:t>
            </w:r>
          </w:p>
        </w:tc>
        <w:tc>
          <w:tcPr>
            <w:tcW w:w="3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2 509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7.9</w:t>
            </w:r>
          </w:p>
        </w:tc>
      </w:tr>
      <w:tr w:rsidR="00686178" w:rsidRPr="00686178" w:rsidTr="00686178">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rPr>
            </w:pPr>
            <w:r w:rsidRPr="00686178">
              <w:rPr>
                <w:rFonts w:ascii="Arial" w:hAnsi="Arial" w:cs="Arial"/>
                <w:bdr w:val="none" w:sz="0" w:space="0" w:color="auto" w:frame="1"/>
              </w:rPr>
              <w:t>2016</w:t>
            </w:r>
          </w:p>
        </w:tc>
        <w:tc>
          <w:tcPr>
            <w:tcW w:w="3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2 364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8.3</w:t>
            </w:r>
          </w:p>
        </w:tc>
      </w:tr>
      <w:tr w:rsidR="00686178" w:rsidRPr="00686178" w:rsidTr="00686178">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rPr>
            </w:pPr>
            <w:r w:rsidRPr="00686178">
              <w:rPr>
                <w:rFonts w:ascii="Arial" w:hAnsi="Arial" w:cs="Arial"/>
                <w:bdr w:val="none" w:sz="0" w:space="0" w:color="auto" w:frame="1"/>
              </w:rPr>
              <w:t>2017</w:t>
            </w:r>
          </w:p>
        </w:tc>
        <w:tc>
          <w:tcPr>
            <w:tcW w:w="3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2 0 4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7.9</w:t>
            </w:r>
          </w:p>
        </w:tc>
      </w:tr>
      <w:tr w:rsidR="00686178" w:rsidRPr="00686178" w:rsidTr="00686178">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rPr>
                <w:rFonts w:ascii="Arial" w:hAnsi="Arial" w:cs="Arial"/>
              </w:rPr>
            </w:pPr>
            <w:r w:rsidRPr="00686178">
              <w:rPr>
                <w:rFonts w:ascii="Arial" w:hAnsi="Arial" w:cs="Arial"/>
                <w:bdr w:val="none" w:sz="0" w:space="0" w:color="auto" w:frame="1"/>
              </w:rPr>
              <w:t>2018</w:t>
            </w:r>
          </w:p>
        </w:tc>
        <w:tc>
          <w:tcPr>
            <w:tcW w:w="3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2 199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6178" w:rsidRPr="00686178" w:rsidRDefault="00686178" w:rsidP="00686178">
            <w:pPr>
              <w:pStyle w:val="NormalWeb"/>
              <w:spacing w:before="0" w:beforeAutospacing="0" w:after="0" w:afterAutospacing="0"/>
              <w:jc w:val="right"/>
              <w:rPr>
                <w:rFonts w:ascii="Arial" w:hAnsi="Arial" w:cs="Arial"/>
              </w:rPr>
            </w:pPr>
            <w:r w:rsidRPr="00686178">
              <w:rPr>
                <w:rFonts w:ascii="Arial" w:hAnsi="Arial" w:cs="Arial"/>
                <w:bdr w:val="none" w:sz="0" w:space="0" w:color="auto" w:frame="1"/>
              </w:rPr>
              <w:t>8.4</w:t>
            </w:r>
          </w:p>
        </w:tc>
      </w:tr>
    </w:tbl>
    <w:p w:rsidR="00686178" w:rsidRPr="00686178" w:rsidRDefault="00686178" w:rsidP="00686178">
      <w:pPr>
        <w:pStyle w:val="NormalWeb"/>
        <w:shd w:val="clear" w:color="auto" w:fill="FFFFFF"/>
        <w:spacing w:before="0" w:beforeAutospacing="0" w:after="0" w:afterAutospacing="0"/>
        <w:rPr>
          <w:rFonts w:ascii="Arial" w:eastAsia="Calibri" w:hAnsi="Arial" w:cs="Arial"/>
        </w:rPr>
      </w:pPr>
      <w:r w:rsidRPr="00686178">
        <w:rPr>
          <w:rFonts w:ascii="Arial" w:hAnsi="Arial" w:cs="Arial"/>
          <w:bdr w:val="none" w:sz="0" w:space="0" w:color="auto" w:frame="1"/>
        </w:rPr>
        <w:t> </w:t>
      </w:r>
      <w:r>
        <w:rPr>
          <w:rFonts w:ascii="Arial" w:hAnsi="Arial" w:cs="Arial"/>
          <w:bdr w:val="none" w:sz="0" w:space="0" w:color="auto" w:frame="1"/>
        </w:rPr>
        <w:tab/>
      </w:r>
      <w:r w:rsidRPr="00686178">
        <w:rPr>
          <w:rFonts w:ascii="Arial" w:eastAsia="Calibri" w:hAnsi="Arial" w:cs="Arial"/>
          <w:bCs/>
          <w:i/>
          <w:iCs/>
        </w:rPr>
        <w:t xml:space="preserve">Source: </w:t>
      </w:r>
      <w:proofErr w:type="spellStart"/>
      <w:r w:rsidRPr="00686178">
        <w:rPr>
          <w:rFonts w:ascii="Arial" w:eastAsia="Calibri" w:hAnsi="Arial" w:cs="Arial"/>
          <w:bCs/>
          <w:i/>
          <w:iCs/>
        </w:rPr>
        <w:t>StatsSA</w:t>
      </w:r>
      <w:proofErr w:type="spellEnd"/>
    </w:p>
    <w:p w:rsidR="00686178" w:rsidRPr="00686178" w:rsidRDefault="00686178" w:rsidP="00686178">
      <w:pPr>
        <w:pStyle w:val="Address"/>
        <w:spacing w:line="240" w:lineRule="auto"/>
        <w:jc w:val="both"/>
        <w:rPr>
          <w:rFonts w:cs="Arial"/>
          <w:sz w:val="24"/>
          <w:lang w:eastAsia="en-ZA"/>
        </w:rPr>
      </w:pPr>
    </w:p>
    <w:p w:rsidR="007D1E5B" w:rsidRPr="00686178" w:rsidRDefault="007D1E5B" w:rsidP="00686178">
      <w:pPr>
        <w:pStyle w:val="BodyText"/>
        <w:spacing w:after="240"/>
        <w:rPr>
          <w:rFonts w:eastAsia="Calibri"/>
          <w:sz w:val="24"/>
        </w:rPr>
      </w:pPr>
      <w:r w:rsidRPr="00686178">
        <w:rPr>
          <w:rFonts w:eastAsia="Calibri"/>
          <w:bCs/>
          <w:sz w:val="24"/>
        </w:rPr>
        <w:t xml:space="preserve"> </w:t>
      </w:r>
    </w:p>
    <w:p w:rsidR="00E134D1" w:rsidRPr="00686178" w:rsidRDefault="00E134D1" w:rsidP="00686178">
      <w:pPr>
        <w:spacing w:line="240" w:lineRule="auto"/>
        <w:jc w:val="both"/>
        <w:rPr>
          <w:rFonts w:ascii="Arial" w:hAnsi="Arial" w:cs="Arial"/>
          <w:color w:val="000000" w:themeColor="text1"/>
          <w:sz w:val="24"/>
          <w:szCs w:val="24"/>
          <w:lang w:val="en-US"/>
        </w:rPr>
      </w:pPr>
      <w:r w:rsidRPr="00686178">
        <w:rPr>
          <w:rFonts w:ascii="Arial" w:hAnsi="Arial" w:cs="Arial"/>
          <w:color w:val="000000" w:themeColor="text1"/>
          <w:sz w:val="24"/>
          <w:szCs w:val="24"/>
          <w:lang w:val="en-US"/>
        </w:rPr>
        <w:t>END.</w:t>
      </w:r>
    </w:p>
    <w:sectPr w:rsidR="00E134D1" w:rsidRPr="00686178"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95" w:rsidRDefault="00E40295" w:rsidP="00BF747C">
      <w:pPr>
        <w:spacing w:after="0" w:line="240" w:lineRule="auto"/>
      </w:pPr>
      <w:r>
        <w:separator/>
      </w:r>
    </w:p>
  </w:endnote>
  <w:endnote w:type="continuationSeparator" w:id="0">
    <w:p w:rsidR="00E40295" w:rsidRDefault="00E4029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E4" w:rsidRPr="004A44E4" w:rsidRDefault="004A44E4" w:rsidP="007D1E5B">
    <w:pPr>
      <w:pStyle w:val="Footer"/>
      <w:rPr>
        <w:rFonts w:ascii="Arial" w:hAnsi="Arial" w:cs="Arial"/>
        <w:sz w:val="24"/>
        <w:szCs w:val="24"/>
      </w:rPr>
    </w:pPr>
  </w:p>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95" w:rsidRDefault="00E40295" w:rsidP="00BF747C">
      <w:pPr>
        <w:spacing w:after="0" w:line="240" w:lineRule="auto"/>
      </w:pPr>
      <w:r>
        <w:separator/>
      </w:r>
    </w:p>
  </w:footnote>
  <w:footnote w:type="continuationSeparator" w:id="0">
    <w:p w:rsidR="00E40295" w:rsidRDefault="00E4029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81A52"/>
    <w:multiLevelType w:val="hybridMultilevel"/>
    <w:tmpl w:val="21B2297C"/>
    <w:lvl w:ilvl="0" w:tplc="A6768080">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21527F67"/>
    <w:multiLevelType w:val="hybridMultilevel"/>
    <w:tmpl w:val="45843630"/>
    <w:lvl w:ilvl="0" w:tplc="FB801426">
      <w:start w:val="17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2B12409"/>
    <w:multiLevelType w:val="hybridMultilevel"/>
    <w:tmpl w:val="DC0E9B1A"/>
    <w:lvl w:ilvl="0" w:tplc="7C70771C">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6">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8"/>
  </w:num>
  <w:num w:numId="5">
    <w:abstractNumId w:val="7"/>
  </w:num>
  <w:num w:numId="6">
    <w:abstractNumId w:val="15"/>
  </w:num>
  <w:num w:numId="7">
    <w:abstractNumId w:val="11"/>
  </w:num>
  <w:num w:numId="8">
    <w:abstractNumId w:val="5"/>
  </w:num>
  <w:num w:numId="9">
    <w:abstractNumId w:val="10"/>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16"/>
  </w:num>
  <w:num w:numId="17">
    <w:abstractNumId w:val="14"/>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4A07"/>
    <w:rsid w:val="000973CE"/>
    <w:rsid w:val="000B53B0"/>
    <w:rsid w:val="000B5C30"/>
    <w:rsid w:val="000C12EC"/>
    <w:rsid w:val="000D7AA8"/>
    <w:rsid w:val="00102E24"/>
    <w:rsid w:val="00107C0A"/>
    <w:rsid w:val="0011067E"/>
    <w:rsid w:val="001979F1"/>
    <w:rsid w:val="001C0A3B"/>
    <w:rsid w:val="001E58AE"/>
    <w:rsid w:val="001F5233"/>
    <w:rsid w:val="002032D2"/>
    <w:rsid w:val="0020357C"/>
    <w:rsid w:val="00245085"/>
    <w:rsid w:val="00250BFB"/>
    <w:rsid w:val="00275DB0"/>
    <w:rsid w:val="00280222"/>
    <w:rsid w:val="002A0C62"/>
    <w:rsid w:val="002B3A8A"/>
    <w:rsid w:val="002C2A10"/>
    <w:rsid w:val="002D383B"/>
    <w:rsid w:val="002E1027"/>
    <w:rsid w:val="002F4617"/>
    <w:rsid w:val="00306F90"/>
    <w:rsid w:val="00306FFC"/>
    <w:rsid w:val="003648B1"/>
    <w:rsid w:val="0037106C"/>
    <w:rsid w:val="003B1818"/>
    <w:rsid w:val="003B2854"/>
    <w:rsid w:val="00406988"/>
    <w:rsid w:val="00412151"/>
    <w:rsid w:val="00447BE3"/>
    <w:rsid w:val="0046053B"/>
    <w:rsid w:val="00464595"/>
    <w:rsid w:val="00464B29"/>
    <w:rsid w:val="0047527C"/>
    <w:rsid w:val="004A44E4"/>
    <w:rsid w:val="004B2E8A"/>
    <w:rsid w:val="004B46FE"/>
    <w:rsid w:val="004C5C74"/>
    <w:rsid w:val="004C6910"/>
    <w:rsid w:val="004D49AE"/>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86178"/>
    <w:rsid w:val="00690396"/>
    <w:rsid w:val="0069149E"/>
    <w:rsid w:val="00734A14"/>
    <w:rsid w:val="007408C8"/>
    <w:rsid w:val="007645A8"/>
    <w:rsid w:val="007D1E5B"/>
    <w:rsid w:val="007E1F8F"/>
    <w:rsid w:val="007F0AE0"/>
    <w:rsid w:val="00811F25"/>
    <w:rsid w:val="008124CC"/>
    <w:rsid w:val="00853DB2"/>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4F18"/>
    <w:rsid w:val="00A252AB"/>
    <w:rsid w:val="00A30F46"/>
    <w:rsid w:val="00A33B6B"/>
    <w:rsid w:val="00A654CA"/>
    <w:rsid w:val="00A904DA"/>
    <w:rsid w:val="00A952F9"/>
    <w:rsid w:val="00AA1D57"/>
    <w:rsid w:val="00AB1B25"/>
    <w:rsid w:val="00B268F2"/>
    <w:rsid w:val="00B416FF"/>
    <w:rsid w:val="00BB3958"/>
    <w:rsid w:val="00BB49DC"/>
    <w:rsid w:val="00BB75F5"/>
    <w:rsid w:val="00BE1738"/>
    <w:rsid w:val="00BF747C"/>
    <w:rsid w:val="00C057AA"/>
    <w:rsid w:val="00C2436E"/>
    <w:rsid w:val="00C36128"/>
    <w:rsid w:val="00C94EDC"/>
    <w:rsid w:val="00CB638E"/>
    <w:rsid w:val="00CC5C0D"/>
    <w:rsid w:val="00CD4399"/>
    <w:rsid w:val="00CE2151"/>
    <w:rsid w:val="00CF0B96"/>
    <w:rsid w:val="00D514C2"/>
    <w:rsid w:val="00D566C6"/>
    <w:rsid w:val="00D702F8"/>
    <w:rsid w:val="00DB5964"/>
    <w:rsid w:val="00E04188"/>
    <w:rsid w:val="00E134D1"/>
    <w:rsid w:val="00E165E7"/>
    <w:rsid w:val="00E207B7"/>
    <w:rsid w:val="00E310B6"/>
    <w:rsid w:val="00E40295"/>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BFD"/>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0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paragraph" w:styleId="NormalWeb">
    <w:name w:val="Normal (Web)"/>
    <w:basedOn w:val="Normal"/>
    <w:uiPriority w:val="99"/>
    <w:unhideWhenUsed/>
    <w:rsid w:val="00686178"/>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3">
    <w:name w:val="Table Grid3"/>
    <w:basedOn w:val="TableNormal"/>
    <w:next w:val="TableGrid"/>
    <w:uiPriority w:val="39"/>
    <w:rsid w:val="00686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86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2023-04-25T12:35:00Z</dcterms:created>
  <dcterms:modified xsi:type="dcterms:W3CDTF">2023-04-25T12:35:00Z</dcterms:modified>
</cp:coreProperties>
</file>