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EA" w:rsidRPr="001B0917" w:rsidRDefault="00C312EA" w:rsidP="005D67E6">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C312EA" w:rsidRPr="00063E28" w:rsidRDefault="00C312EA" w:rsidP="005D67E6">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FOR WRITTEN REPLY</w:t>
      </w:r>
    </w:p>
    <w:p w:rsidR="00AD00CE" w:rsidRPr="00063E28" w:rsidRDefault="00647EF2" w:rsidP="005D67E6">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NUMBER</w:t>
      </w:r>
      <w:r w:rsidR="001B0917" w:rsidRPr="00063E28">
        <w:rPr>
          <w:rFonts w:ascii="Arial" w:hAnsi="Arial" w:cs="Arial"/>
          <w:b/>
          <w:sz w:val="22"/>
          <w:szCs w:val="22"/>
        </w:rPr>
        <w:t>:</w:t>
      </w:r>
      <w:r w:rsidRPr="00063E28">
        <w:rPr>
          <w:rFonts w:ascii="Arial" w:hAnsi="Arial" w:cs="Arial"/>
          <w:b/>
          <w:sz w:val="22"/>
          <w:szCs w:val="22"/>
        </w:rPr>
        <w:t xml:space="preserve"> </w:t>
      </w:r>
      <w:r w:rsidR="003938C9">
        <w:rPr>
          <w:rFonts w:ascii="Arial" w:hAnsi="Arial" w:cs="Arial"/>
          <w:b/>
          <w:sz w:val="22"/>
          <w:szCs w:val="22"/>
        </w:rPr>
        <w:t>1198</w:t>
      </w:r>
      <w:r w:rsidR="00AD00CE" w:rsidRPr="00063E28">
        <w:rPr>
          <w:rFonts w:ascii="Arial" w:hAnsi="Arial" w:cs="Arial"/>
          <w:b/>
          <w:sz w:val="22"/>
          <w:szCs w:val="22"/>
        </w:rPr>
        <w:t xml:space="preserve"> [NW</w:t>
      </w:r>
      <w:r w:rsidR="003938C9">
        <w:rPr>
          <w:rFonts w:ascii="Arial" w:hAnsi="Arial" w:cs="Arial"/>
          <w:b/>
          <w:sz w:val="22"/>
          <w:szCs w:val="22"/>
        </w:rPr>
        <w:t>1292</w:t>
      </w:r>
      <w:r w:rsidR="00AD00CE" w:rsidRPr="00063E28">
        <w:rPr>
          <w:rFonts w:ascii="Arial" w:hAnsi="Arial" w:cs="Arial"/>
          <w:b/>
          <w:sz w:val="22"/>
          <w:szCs w:val="22"/>
        </w:rPr>
        <w:t>E]</w:t>
      </w:r>
    </w:p>
    <w:p w:rsidR="00C312EA" w:rsidRPr="00063E28" w:rsidRDefault="00BD31C6" w:rsidP="005D67E6">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DATE OF PUBLICATION:</w:t>
      </w:r>
      <w:r w:rsidR="003938C9">
        <w:rPr>
          <w:rFonts w:ascii="Arial" w:hAnsi="Arial" w:cs="Arial"/>
          <w:b/>
          <w:sz w:val="22"/>
          <w:szCs w:val="22"/>
        </w:rPr>
        <w:t xml:space="preserve"> 20 APRIL</w:t>
      </w:r>
      <w:r w:rsidR="00063E28" w:rsidRPr="00063E28">
        <w:rPr>
          <w:rFonts w:ascii="Arial" w:hAnsi="Arial" w:cs="Arial"/>
          <w:b/>
          <w:sz w:val="22"/>
          <w:szCs w:val="22"/>
        </w:rPr>
        <w:t xml:space="preserve"> 2018</w:t>
      </w:r>
    </w:p>
    <w:p w:rsidR="0062770E" w:rsidRPr="00BC3150" w:rsidRDefault="0062770E" w:rsidP="005D67E6">
      <w:pPr>
        <w:pStyle w:val="BodyTextIndent"/>
        <w:spacing w:line="276" w:lineRule="auto"/>
        <w:ind w:left="0" w:firstLine="0"/>
        <w:rPr>
          <w:rFonts w:ascii="Arial" w:hAnsi="Arial" w:cs="Arial"/>
          <w:b/>
          <w:sz w:val="22"/>
          <w:szCs w:val="22"/>
        </w:rPr>
      </w:pPr>
    </w:p>
    <w:p w:rsidR="003938C9" w:rsidRPr="003938C9" w:rsidRDefault="003938C9" w:rsidP="005D67E6">
      <w:pPr>
        <w:spacing w:before="100" w:beforeAutospacing="1" w:after="100" w:afterAutospacing="1" w:line="276" w:lineRule="auto"/>
        <w:ind w:left="720" w:hanging="720"/>
        <w:jc w:val="both"/>
        <w:outlineLvl w:val="0"/>
        <w:rPr>
          <w:rFonts w:eastAsia="Calibri"/>
          <w:b/>
          <w:lang w:val="en-ZA"/>
        </w:rPr>
      </w:pPr>
      <w:r w:rsidRPr="003938C9">
        <w:rPr>
          <w:rFonts w:eastAsia="Calibri"/>
          <w:b/>
          <w:lang w:val="en-ZA"/>
        </w:rPr>
        <w:t>1198.</w:t>
      </w:r>
      <w:r w:rsidRPr="003938C9">
        <w:rPr>
          <w:rFonts w:eastAsia="Calibri"/>
          <w:b/>
          <w:lang w:val="en-ZA"/>
        </w:rPr>
        <w:tab/>
        <w:t xml:space="preserve">Ms Z </w:t>
      </w:r>
      <w:proofErr w:type="spellStart"/>
      <w:r w:rsidRPr="003938C9">
        <w:rPr>
          <w:rFonts w:eastAsia="Calibri"/>
          <w:b/>
          <w:lang w:val="en-ZA"/>
        </w:rPr>
        <w:t>Jongbloed</w:t>
      </w:r>
      <w:proofErr w:type="spellEnd"/>
      <w:r w:rsidRPr="003938C9">
        <w:rPr>
          <w:rFonts w:eastAsia="Calibri"/>
          <w:b/>
          <w:lang w:val="en-ZA"/>
        </w:rPr>
        <w:t xml:space="preserve"> (DA) to ask Minister of Finance:</w:t>
      </w:r>
    </w:p>
    <w:p w:rsidR="003938C9" w:rsidRDefault="003938C9" w:rsidP="005D67E6">
      <w:pPr>
        <w:spacing w:before="100" w:beforeAutospacing="1" w:after="100" w:afterAutospacing="1" w:line="276" w:lineRule="auto"/>
        <w:ind w:left="709" w:firstLine="11"/>
        <w:contextualSpacing/>
        <w:jc w:val="both"/>
        <w:rPr>
          <w:rFonts w:eastAsia="Calibri"/>
          <w:lang w:val="en-ZA"/>
        </w:rPr>
      </w:pPr>
      <w:r w:rsidRPr="003938C9">
        <w:rPr>
          <w:rFonts w:eastAsia="Calibri"/>
          <w:lang w:val="en-ZA"/>
        </w:rPr>
        <w:t>What (a)(</w:t>
      </w:r>
      <w:proofErr w:type="spellStart"/>
      <w:r w:rsidRPr="003938C9">
        <w:rPr>
          <w:rFonts w:eastAsia="Calibri"/>
          <w:lang w:val="en-ZA"/>
        </w:rPr>
        <w:t>i</w:t>
      </w:r>
      <w:proofErr w:type="spellEnd"/>
      <w:r w:rsidRPr="003938C9">
        <w:rPr>
          <w:rFonts w:eastAsia="Calibri"/>
          <w:lang w:val="en-ZA"/>
        </w:rPr>
        <w:t>) is the purpose of the Ombud for Financial Services Providers and (ii) services does it offer (b)(</w:t>
      </w:r>
      <w:proofErr w:type="spellStart"/>
      <w:r w:rsidRPr="003938C9">
        <w:rPr>
          <w:rFonts w:eastAsia="Calibri"/>
          <w:lang w:val="en-ZA"/>
        </w:rPr>
        <w:t>i</w:t>
      </w:r>
      <w:proofErr w:type="spellEnd"/>
      <w:r w:rsidRPr="003938C9">
        <w:rPr>
          <w:rFonts w:eastAsia="Calibri"/>
          <w:lang w:val="en-ZA"/>
        </w:rPr>
        <w:t>) is the funding mechanism of the Ombud and (ii) was the total income and expenditure of the Ombud over the past three financial years, (c) was the performance of the Ombud over the past three financial years in terms of cases (</w:t>
      </w:r>
      <w:proofErr w:type="spellStart"/>
      <w:r w:rsidRPr="003938C9">
        <w:rPr>
          <w:rFonts w:eastAsia="Calibri"/>
          <w:lang w:val="en-ZA"/>
        </w:rPr>
        <w:t>i</w:t>
      </w:r>
      <w:proofErr w:type="spellEnd"/>
      <w:r w:rsidRPr="003938C9">
        <w:rPr>
          <w:rFonts w:eastAsia="Calibri"/>
          <w:lang w:val="en-ZA"/>
        </w:rPr>
        <w:t>) heard and (ii) resolved, (d) was the original cost of setting up the Ombud, (e) is its staffing structure, (f) is/are the location/s of its offices and (g) is the way in which the Ombud delivers services?</w:t>
      </w:r>
      <w:r w:rsidRPr="003938C9">
        <w:rPr>
          <w:rFonts w:eastAsia="Calibri"/>
          <w:lang w:val="en-ZA"/>
        </w:rPr>
        <w:tab/>
      </w:r>
      <w:r w:rsidRPr="003938C9">
        <w:rPr>
          <w:rFonts w:eastAsia="Calibri"/>
          <w:lang w:val="en-ZA"/>
        </w:rPr>
        <w:tab/>
      </w:r>
      <w:r w:rsidRPr="003938C9">
        <w:rPr>
          <w:rFonts w:eastAsia="Calibri"/>
          <w:lang w:val="en-ZA"/>
        </w:rPr>
        <w:tab/>
      </w:r>
      <w:r w:rsidRPr="003938C9">
        <w:rPr>
          <w:rFonts w:eastAsia="Calibri"/>
          <w:lang w:val="en-ZA"/>
        </w:rPr>
        <w:tab/>
      </w:r>
      <w:r w:rsidRPr="003938C9">
        <w:rPr>
          <w:rFonts w:eastAsia="Calibri"/>
          <w:lang w:val="en-ZA"/>
        </w:rPr>
        <w:tab/>
      </w:r>
      <w:r w:rsidRPr="003938C9">
        <w:rPr>
          <w:rFonts w:eastAsia="Calibri"/>
          <w:lang w:val="en-ZA"/>
        </w:rPr>
        <w:tab/>
      </w:r>
      <w:r w:rsidRPr="003938C9">
        <w:rPr>
          <w:rFonts w:eastAsia="Calibri"/>
          <w:lang w:val="en-ZA"/>
        </w:rPr>
        <w:tab/>
      </w:r>
    </w:p>
    <w:p w:rsidR="003938C9" w:rsidRPr="003938C9" w:rsidRDefault="003938C9" w:rsidP="005D67E6">
      <w:pPr>
        <w:spacing w:before="100" w:beforeAutospacing="1" w:after="100" w:afterAutospacing="1" w:line="276" w:lineRule="auto"/>
        <w:ind w:left="7909" w:firstLine="11"/>
        <w:contextualSpacing/>
        <w:jc w:val="both"/>
        <w:rPr>
          <w:rFonts w:eastAsia="Calibri"/>
          <w:sz w:val="20"/>
          <w:lang w:val="en-ZA"/>
        </w:rPr>
      </w:pPr>
      <w:r w:rsidRPr="003938C9">
        <w:rPr>
          <w:rFonts w:eastAsia="Calibri"/>
          <w:sz w:val="20"/>
          <w:lang w:val="en-ZA"/>
        </w:rPr>
        <w:t>NW1292E</w:t>
      </w:r>
    </w:p>
    <w:p w:rsidR="001E6902" w:rsidRDefault="001433AE" w:rsidP="005D67E6">
      <w:pPr>
        <w:spacing w:before="100" w:beforeAutospacing="1" w:after="100" w:afterAutospacing="1" w:line="276" w:lineRule="auto"/>
        <w:jc w:val="both"/>
        <w:outlineLvl w:val="0"/>
        <w:rPr>
          <w:rFonts w:ascii="Arial" w:hAnsi="Arial" w:cs="Arial"/>
          <w:sz w:val="22"/>
          <w:szCs w:val="22"/>
        </w:rPr>
      </w:pPr>
      <w:r w:rsidRPr="00BC3150">
        <w:rPr>
          <w:rFonts w:ascii="Arial" w:hAnsi="Arial" w:cs="Arial"/>
          <w:b/>
          <w:sz w:val="22"/>
          <w:szCs w:val="22"/>
        </w:rPr>
        <w:t>REPLY</w:t>
      </w:r>
      <w:r w:rsidRPr="00BC3150">
        <w:rPr>
          <w:rFonts w:ascii="Arial" w:hAnsi="Arial" w:cs="Arial"/>
          <w:sz w:val="22"/>
          <w:szCs w:val="22"/>
        </w:rPr>
        <w:t>:</w:t>
      </w:r>
    </w:p>
    <w:p w:rsidR="00F12BFC" w:rsidRPr="00766992" w:rsidRDefault="00F12BFC" w:rsidP="005D67E6">
      <w:pPr>
        <w:spacing w:line="276" w:lineRule="auto"/>
        <w:ind w:right="567"/>
        <w:jc w:val="both"/>
      </w:pPr>
      <w:r w:rsidRPr="00766992">
        <w:t>Question (a)(</w:t>
      </w:r>
      <w:proofErr w:type="spellStart"/>
      <w:r w:rsidRPr="00766992">
        <w:t>i</w:t>
      </w:r>
      <w:proofErr w:type="spellEnd"/>
      <w:r w:rsidRPr="00766992">
        <w:t>)</w:t>
      </w:r>
      <w:r w:rsidR="00766992">
        <w:t>:</w:t>
      </w:r>
      <w:r w:rsidRPr="00766992">
        <w:t xml:space="preserve"> The Office of the Ombud for Financial Services Providers (FAIS Ombud) was established in terms of section 20 of the Financial Advisory and intermediary Service Act 37 of 2002 (FAIS Act). The purpose of the Office is outlined in section 20(3) which states that:</w:t>
      </w:r>
    </w:p>
    <w:p w:rsidR="00F12BFC" w:rsidRPr="00766992" w:rsidRDefault="00F12BFC" w:rsidP="005D67E6">
      <w:pPr>
        <w:spacing w:line="276" w:lineRule="auto"/>
        <w:ind w:right="567"/>
        <w:jc w:val="both"/>
      </w:pPr>
    </w:p>
    <w:p w:rsidR="00F12BFC" w:rsidRPr="00766992" w:rsidRDefault="00F12BFC" w:rsidP="005D67E6">
      <w:pPr>
        <w:spacing w:line="276" w:lineRule="auto"/>
        <w:ind w:right="567"/>
        <w:jc w:val="both"/>
        <w:rPr>
          <w:i/>
        </w:rPr>
      </w:pPr>
      <w:r w:rsidRPr="00766992">
        <w:rPr>
          <w:i/>
        </w:rPr>
        <w:t>‘The objective of the Ombud is to consider and dispose of complaints in a procedurally fair, informal, economical and expeditious manner and by reference to what is equitable in all the circumstances, with due regard to-</w:t>
      </w:r>
    </w:p>
    <w:p w:rsidR="00F12BFC" w:rsidRPr="00766992" w:rsidRDefault="00F12BFC" w:rsidP="005D67E6">
      <w:pPr>
        <w:spacing w:line="276" w:lineRule="auto"/>
        <w:ind w:right="567"/>
        <w:jc w:val="both"/>
        <w:rPr>
          <w:i/>
        </w:rPr>
      </w:pPr>
      <w:r w:rsidRPr="00766992">
        <w:rPr>
          <w:i/>
        </w:rPr>
        <w:t xml:space="preserve">(a) </w:t>
      </w:r>
      <w:proofErr w:type="gramStart"/>
      <w:r w:rsidRPr="00766992">
        <w:rPr>
          <w:i/>
        </w:rPr>
        <w:t>the</w:t>
      </w:r>
      <w:proofErr w:type="gramEnd"/>
      <w:r w:rsidRPr="00766992">
        <w:rPr>
          <w:i/>
        </w:rPr>
        <w:t xml:space="preserve"> contractual arrangement or other legal relationship between the complainant and any other party to the complaint; and</w:t>
      </w:r>
    </w:p>
    <w:p w:rsidR="00F12BFC" w:rsidRDefault="00F12BFC" w:rsidP="005D67E6">
      <w:pPr>
        <w:spacing w:line="276" w:lineRule="auto"/>
        <w:ind w:right="567"/>
        <w:jc w:val="both"/>
        <w:rPr>
          <w:i/>
        </w:rPr>
      </w:pPr>
      <w:r w:rsidRPr="00766992">
        <w:rPr>
          <w:i/>
        </w:rPr>
        <w:t xml:space="preserve">(b) </w:t>
      </w:r>
      <w:proofErr w:type="gramStart"/>
      <w:r w:rsidRPr="00766992">
        <w:rPr>
          <w:i/>
        </w:rPr>
        <w:t>the</w:t>
      </w:r>
      <w:proofErr w:type="gramEnd"/>
      <w:r w:rsidRPr="00766992">
        <w:rPr>
          <w:i/>
        </w:rPr>
        <w:t xml:space="preserve"> provisions of this Act.’</w:t>
      </w:r>
    </w:p>
    <w:p w:rsidR="00766992" w:rsidRDefault="00766992" w:rsidP="005D67E6">
      <w:pPr>
        <w:spacing w:line="276" w:lineRule="auto"/>
        <w:ind w:right="567"/>
        <w:jc w:val="both"/>
        <w:rPr>
          <w:i/>
        </w:rPr>
      </w:pPr>
    </w:p>
    <w:p w:rsidR="00766992" w:rsidRDefault="00766992" w:rsidP="005D67E6">
      <w:pPr>
        <w:spacing w:line="276" w:lineRule="auto"/>
        <w:ind w:right="567"/>
        <w:jc w:val="both"/>
      </w:pPr>
      <w:r w:rsidRPr="00766992">
        <w:t>Question (a</w:t>
      </w:r>
      <w:proofErr w:type="gramStart"/>
      <w:r w:rsidRPr="00766992">
        <w:t>)(</w:t>
      </w:r>
      <w:proofErr w:type="gramEnd"/>
      <w:r w:rsidRPr="00766992">
        <w:t>i</w:t>
      </w:r>
      <w:r>
        <w:t>i</w:t>
      </w:r>
      <w:r w:rsidRPr="00766992">
        <w:t>)</w:t>
      </w:r>
      <w:r>
        <w:t>:</w:t>
      </w:r>
      <w:r w:rsidR="003D15E5" w:rsidRPr="003D15E5">
        <w:t xml:space="preserve"> </w:t>
      </w:r>
      <w:r w:rsidR="003D15E5">
        <w:t xml:space="preserve">The FAIS Ombud is funded through a budget allocation emanating from levies collected by the Financial Sector Conduct Authority. </w:t>
      </w:r>
    </w:p>
    <w:p w:rsidR="00766992" w:rsidRPr="00766992" w:rsidRDefault="00766992" w:rsidP="005D67E6">
      <w:pPr>
        <w:spacing w:line="276" w:lineRule="auto"/>
        <w:ind w:right="567"/>
        <w:jc w:val="both"/>
      </w:pPr>
    </w:p>
    <w:p w:rsidR="0059744C" w:rsidRDefault="003D15E5" w:rsidP="005D67E6">
      <w:pPr>
        <w:spacing w:line="276" w:lineRule="auto"/>
        <w:ind w:right="567"/>
        <w:jc w:val="both"/>
      </w:pPr>
      <w:r w:rsidRPr="003F1A95">
        <w:t>Question</w:t>
      </w:r>
      <w:r w:rsidRPr="00EA47DA">
        <w:rPr>
          <w:b/>
        </w:rPr>
        <w:t xml:space="preserve"> </w:t>
      </w:r>
      <w:r w:rsidR="0059744C">
        <w:t>(b</w:t>
      </w:r>
      <w:proofErr w:type="gramStart"/>
      <w:r w:rsidR="0059744C">
        <w:t>)(</w:t>
      </w:r>
      <w:proofErr w:type="gramEnd"/>
      <w:r w:rsidR="0059744C">
        <w:t xml:space="preserve">ii) The FAIS Ombud receives an approved budget at the beginning of each financial year and expenses incurred by the Office are commensurate with the budget so received. The financial information for the 2017/2018 financial year is not yet available as this information is still to be audited by the Auditor General in accordance with section 40 of the PFMA. The information for the three financial years immediately preceding the 2017/2018 financial year are detailed below.  </w:t>
      </w:r>
    </w:p>
    <w:p w:rsidR="0059744C" w:rsidRDefault="0059744C" w:rsidP="005D67E6">
      <w:pPr>
        <w:spacing w:line="276" w:lineRule="auto"/>
        <w:ind w:right="567"/>
        <w:jc w:val="both"/>
      </w:pPr>
    </w:p>
    <w:p w:rsidR="0059744C" w:rsidRPr="008C76F0" w:rsidRDefault="0059744C" w:rsidP="005D67E6">
      <w:pPr>
        <w:spacing w:line="276" w:lineRule="auto"/>
        <w:ind w:right="567"/>
        <w:jc w:val="both"/>
      </w:pPr>
      <w:r w:rsidRPr="008C76F0">
        <w:t>2014/2015</w:t>
      </w:r>
      <w:r w:rsidRPr="0031071B">
        <w:rPr>
          <w:b/>
        </w:rPr>
        <w:t xml:space="preserve"> </w:t>
      </w:r>
      <w:r>
        <w:t xml:space="preserve">financial year </w:t>
      </w:r>
    </w:p>
    <w:tbl>
      <w:tblPr>
        <w:tblStyle w:val="TableGrid"/>
        <w:tblW w:w="0" w:type="auto"/>
        <w:tblLook w:val="04A0" w:firstRow="1" w:lastRow="0" w:firstColumn="1" w:lastColumn="0" w:noHBand="0" w:noVBand="1"/>
      </w:tblPr>
      <w:tblGrid>
        <w:gridCol w:w="2064"/>
        <w:gridCol w:w="2415"/>
        <w:gridCol w:w="2440"/>
        <w:gridCol w:w="2475"/>
      </w:tblGrid>
      <w:tr w:rsidR="0059744C" w:rsidRPr="000230AE" w:rsidTr="009D730A">
        <w:tc>
          <w:tcPr>
            <w:tcW w:w="1975" w:type="dxa"/>
          </w:tcPr>
          <w:p w:rsidR="0059744C" w:rsidRPr="000230AE" w:rsidRDefault="0059744C" w:rsidP="005D67E6">
            <w:pPr>
              <w:spacing w:line="276" w:lineRule="auto"/>
              <w:ind w:right="567"/>
              <w:jc w:val="both"/>
              <w:rPr>
                <w:b/>
              </w:rPr>
            </w:pPr>
          </w:p>
        </w:tc>
        <w:tc>
          <w:tcPr>
            <w:tcW w:w="2498" w:type="dxa"/>
          </w:tcPr>
          <w:p w:rsidR="0059744C" w:rsidRPr="000230AE" w:rsidRDefault="0059744C" w:rsidP="005D67E6">
            <w:pPr>
              <w:spacing w:line="276" w:lineRule="auto"/>
              <w:ind w:right="567"/>
              <w:jc w:val="both"/>
              <w:rPr>
                <w:b/>
              </w:rPr>
            </w:pPr>
            <w:r w:rsidRPr="000230AE">
              <w:rPr>
                <w:b/>
              </w:rPr>
              <w:t xml:space="preserve">Approved budget </w:t>
            </w:r>
          </w:p>
        </w:tc>
        <w:tc>
          <w:tcPr>
            <w:tcW w:w="2578" w:type="dxa"/>
          </w:tcPr>
          <w:p w:rsidR="0059744C" w:rsidRPr="000230AE" w:rsidRDefault="0059744C" w:rsidP="005D67E6">
            <w:pPr>
              <w:autoSpaceDE w:val="0"/>
              <w:autoSpaceDN w:val="0"/>
              <w:adjustRightInd w:val="0"/>
              <w:spacing w:line="276" w:lineRule="auto"/>
              <w:rPr>
                <w:b/>
                <w:bCs/>
              </w:rPr>
            </w:pPr>
            <w:r w:rsidRPr="000230AE">
              <w:rPr>
                <w:b/>
                <w:bCs/>
              </w:rPr>
              <w:t>Actual amounts on comparable basis</w:t>
            </w:r>
          </w:p>
        </w:tc>
        <w:tc>
          <w:tcPr>
            <w:tcW w:w="2578" w:type="dxa"/>
          </w:tcPr>
          <w:p w:rsidR="0059744C" w:rsidRPr="000230AE" w:rsidRDefault="0059744C" w:rsidP="005D67E6">
            <w:pPr>
              <w:spacing w:line="276" w:lineRule="auto"/>
              <w:ind w:right="567"/>
              <w:rPr>
                <w:b/>
              </w:rPr>
            </w:pPr>
            <w:r w:rsidRPr="000230AE">
              <w:rPr>
                <w:b/>
              </w:rPr>
              <w:t xml:space="preserve">Variance between final and budget actual </w:t>
            </w:r>
          </w:p>
        </w:tc>
      </w:tr>
      <w:tr w:rsidR="0059744C" w:rsidRPr="000230AE" w:rsidTr="009D730A">
        <w:tc>
          <w:tcPr>
            <w:tcW w:w="1975" w:type="dxa"/>
          </w:tcPr>
          <w:p w:rsidR="0059744C" w:rsidRPr="000230AE" w:rsidRDefault="0059744C" w:rsidP="005D67E6">
            <w:pPr>
              <w:spacing w:line="276" w:lineRule="auto"/>
              <w:ind w:right="567"/>
              <w:rPr>
                <w:b/>
              </w:rPr>
            </w:pPr>
            <w:r w:rsidRPr="000230AE">
              <w:rPr>
                <w:b/>
              </w:rPr>
              <w:t>Total revenue from non-exchange transactions</w:t>
            </w:r>
          </w:p>
        </w:tc>
        <w:tc>
          <w:tcPr>
            <w:tcW w:w="2498" w:type="dxa"/>
          </w:tcPr>
          <w:p w:rsidR="0059744C" w:rsidRPr="000230AE" w:rsidRDefault="0059744C" w:rsidP="005D67E6">
            <w:pPr>
              <w:spacing w:line="276" w:lineRule="auto"/>
              <w:ind w:right="567"/>
              <w:jc w:val="both"/>
            </w:pPr>
            <w:r w:rsidRPr="000230AE">
              <w:t>R35 798 004</w:t>
            </w:r>
          </w:p>
        </w:tc>
        <w:tc>
          <w:tcPr>
            <w:tcW w:w="2578" w:type="dxa"/>
          </w:tcPr>
          <w:p w:rsidR="0059744C" w:rsidRPr="000230AE" w:rsidRDefault="0059744C" w:rsidP="005D67E6">
            <w:pPr>
              <w:spacing w:line="276" w:lineRule="auto"/>
              <w:ind w:right="567"/>
              <w:jc w:val="both"/>
            </w:pPr>
            <w:r w:rsidRPr="000230AE">
              <w:t>R35 822 198</w:t>
            </w:r>
          </w:p>
        </w:tc>
        <w:tc>
          <w:tcPr>
            <w:tcW w:w="2578" w:type="dxa"/>
          </w:tcPr>
          <w:p w:rsidR="0059744C" w:rsidRPr="000230AE" w:rsidRDefault="0059744C" w:rsidP="005D67E6">
            <w:pPr>
              <w:spacing w:line="276" w:lineRule="auto"/>
              <w:ind w:right="567"/>
              <w:jc w:val="both"/>
            </w:pPr>
            <w:r w:rsidRPr="000230AE">
              <w:t>R24 194</w:t>
            </w:r>
          </w:p>
        </w:tc>
      </w:tr>
      <w:tr w:rsidR="0059744C" w:rsidRPr="000230AE" w:rsidTr="009D730A">
        <w:tc>
          <w:tcPr>
            <w:tcW w:w="1975" w:type="dxa"/>
          </w:tcPr>
          <w:p w:rsidR="0059744C" w:rsidRPr="000230AE" w:rsidRDefault="0059744C" w:rsidP="005D67E6">
            <w:pPr>
              <w:spacing w:line="276" w:lineRule="auto"/>
              <w:ind w:right="567"/>
              <w:rPr>
                <w:b/>
              </w:rPr>
            </w:pPr>
            <w:r w:rsidRPr="000230AE">
              <w:rPr>
                <w:b/>
              </w:rPr>
              <w:t xml:space="preserve">Expenditure </w:t>
            </w:r>
          </w:p>
        </w:tc>
        <w:tc>
          <w:tcPr>
            <w:tcW w:w="2498" w:type="dxa"/>
          </w:tcPr>
          <w:p w:rsidR="0059744C" w:rsidRPr="000230AE" w:rsidRDefault="0059744C" w:rsidP="005D67E6">
            <w:pPr>
              <w:spacing w:line="276" w:lineRule="auto"/>
              <w:ind w:right="567"/>
              <w:jc w:val="both"/>
            </w:pPr>
            <w:r w:rsidRPr="000230AE">
              <w:t>R(36 774 175)</w:t>
            </w:r>
          </w:p>
        </w:tc>
        <w:tc>
          <w:tcPr>
            <w:tcW w:w="2578" w:type="dxa"/>
          </w:tcPr>
          <w:p w:rsidR="0059744C" w:rsidRPr="000230AE" w:rsidRDefault="0059744C" w:rsidP="005D67E6">
            <w:pPr>
              <w:spacing w:line="276" w:lineRule="auto"/>
              <w:ind w:right="567"/>
              <w:jc w:val="both"/>
            </w:pPr>
            <w:r w:rsidRPr="000230AE">
              <w:t>R(34 216 736)</w:t>
            </w:r>
          </w:p>
        </w:tc>
        <w:tc>
          <w:tcPr>
            <w:tcW w:w="2578" w:type="dxa"/>
          </w:tcPr>
          <w:p w:rsidR="0059744C" w:rsidRPr="000230AE" w:rsidRDefault="0059744C" w:rsidP="005D67E6">
            <w:pPr>
              <w:spacing w:line="276" w:lineRule="auto"/>
              <w:ind w:right="567"/>
              <w:jc w:val="both"/>
            </w:pPr>
            <w:r w:rsidRPr="000230AE">
              <w:t>R2 557 439</w:t>
            </w:r>
          </w:p>
        </w:tc>
      </w:tr>
      <w:tr w:rsidR="0059744C" w:rsidRPr="000230AE" w:rsidTr="009D730A">
        <w:tc>
          <w:tcPr>
            <w:tcW w:w="1975" w:type="dxa"/>
          </w:tcPr>
          <w:p w:rsidR="0059744C" w:rsidRPr="000230AE" w:rsidRDefault="0059744C" w:rsidP="005D67E6">
            <w:pPr>
              <w:spacing w:line="276" w:lineRule="auto"/>
              <w:ind w:right="567"/>
              <w:rPr>
                <w:b/>
              </w:rPr>
            </w:pPr>
            <w:r w:rsidRPr="000230AE">
              <w:rPr>
                <w:b/>
              </w:rPr>
              <w:t xml:space="preserve">Deficit / surplus </w:t>
            </w:r>
          </w:p>
        </w:tc>
        <w:tc>
          <w:tcPr>
            <w:tcW w:w="2498" w:type="dxa"/>
          </w:tcPr>
          <w:p w:rsidR="0059744C" w:rsidRPr="000230AE" w:rsidRDefault="0059744C" w:rsidP="005D67E6">
            <w:pPr>
              <w:spacing w:line="276" w:lineRule="auto"/>
              <w:ind w:right="567"/>
              <w:jc w:val="both"/>
            </w:pPr>
            <w:r w:rsidRPr="000230AE">
              <w:t>R(976 171)</w:t>
            </w:r>
          </w:p>
        </w:tc>
        <w:tc>
          <w:tcPr>
            <w:tcW w:w="2578" w:type="dxa"/>
          </w:tcPr>
          <w:p w:rsidR="0059744C" w:rsidRPr="000230AE" w:rsidRDefault="0059744C" w:rsidP="005D67E6">
            <w:pPr>
              <w:spacing w:line="276" w:lineRule="auto"/>
              <w:ind w:right="567"/>
              <w:jc w:val="both"/>
            </w:pPr>
            <w:r w:rsidRPr="000230AE">
              <w:t>R1 581 592</w:t>
            </w:r>
          </w:p>
        </w:tc>
        <w:tc>
          <w:tcPr>
            <w:tcW w:w="2578" w:type="dxa"/>
          </w:tcPr>
          <w:p w:rsidR="0059744C" w:rsidRPr="000230AE" w:rsidRDefault="0059744C" w:rsidP="005D67E6">
            <w:pPr>
              <w:spacing w:line="276" w:lineRule="auto"/>
              <w:ind w:right="567"/>
              <w:jc w:val="both"/>
            </w:pPr>
            <w:r w:rsidRPr="000230AE">
              <w:t>R2 557 763</w:t>
            </w:r>
          </w:p>
        </w:tc>
      </w:tr>
    </w:tbl>
    <w:p w:rsidR="0059744C" w:rsidRPr="000230AE" w:rsidRDefault="0059744C" w:rsidP="005D67E6">
      <w:pPr>
        <w:spacing w:line="276" w:lineRule="auto"/>
        <w:ind w:right="567"/>
        <w:jc w:val="both"/>
      </w:pPr>
    </w:p>
    <w:p w:rsidR="0059744C" w:rsidRPr="000230AE" w:rsidRDefault="0059744C" w:rsidP="005D67E6">
      <w:pPr>
        <w:spacing w:line="276" w:lineRule="auto"/>
        <w:ind w:right="567"/>
        <w:jc w:val="both"/>
      </w:pPr>
      <w:r w:rsidRPr="000230AE">
        <w:t xml:space="preserve">2015/2016 financial year </w:t>
      </w:r>
    </w:p>
    <w:tbl>
      <w:tblPr>
        <w:tblStyle w:val="TableGrid"/>
        <w:tblW w:w="0" w:type="auto"/>
        <w:tblLook w:val="04A0" w:firstRow="1" w:lastRow="0" w:firstColumn="1" w:lastColumn="0" w:noHBand="0" w:noVBand="1"/>
      </w:tblPr>
      <w:tblGrid>
        <w:gridCol w:w="2064"/>
        <w:gridCol w:w="2415"/>
        <w:gridCol w:w="2440"/>
        <w:gridCol w:w="2475"/>
      </w:tblGrid>
      <w:tr w:rsidR="0059744C" w:rsidRPr="000230AE" w:rsidTr="009D730A">
        <w:tc>
          <w:tcPr>
            <w:tcW w:w="1975" w:type="dxa"/>
          </w:tcPr>
          <w:p w:rsidR="0059744C" w:rsidRPr="000230AE" w:rsidRDefault="0059744C" w:rsidP="005D67E6">
            <w:pPr>
              <w:spacing w:line="276" w:lineRule="auto"/>
              <w:ind w:right="567"/>
              <w:jc w:val="both"/>
              <w:rPr>
                <w:b/>
                <w:color w:val="FF0000"/>
              </w:rPr>
            </w:pPr>
          </w:p>
        </w:tc>
        <w:tc>
          <w:tcPr>
            <w:tcW w:w="2498" w:type="dxa"/>
          </w:tcPr>
          <w:p w:rsidR="0059744C" w:rsidRPr="000230AE" w:rsidRDefault="0059744C" w:rsidP="005D67E6">
            <w:pPr>
              <w:spacing w:line="276" w:lineRule="auto"/>
              <w:ind w:right="567"/>
              <w:jc w:val="both"/>
              <w:rPr>
                <w:b/>
                <w:color w:val="FF0000"/>
              </w:rPr>
            </w:pPr>
            <w:r w:rsidRPr="000230AE">
              <w:rPr>
                <w:b/>
              </w:rPr>
              <w:t xml:space="preserve">Approved budget </w:t>
            </w:r>
          </w:p>
        </w:tc>
        <w:tc>
          <w:tcPr>
            <w:tcW w:w="2578" w:type="dxa"/>
          </w:tcPr>
          <w:p w:rsidR="0059744C" w:rsidRPr="000230AE" w:rsidRDefault="0059744C" w:rsidP="005D67E6">
            <w:pPr>
              <w:autoSpaceDE w:val="0"/>
              <w:autoSpaceDN w:val="0"/>
              <w:adjustRightInd w:val="0"/>
              <w:spacing w:line="276" w:lineRule="auto"/>
              <w:rPr>
                <w:b/>
                <w:bCs/>
              </w:rPr>
            </w:pPr>
            <w:r w:rsidRPr="000230AE">
              <w:rPr>
                <w:b/>
                <w:bCs/>
              </w:rPr>
              <w:t>Actual amounts on comparable basis</w:t>
            </w:r>
          </w:p>
        </w:tc>
        <w:tc>
          <w:tcPr>
            <w:tcW w:w="2578" w:type="dxa"/>
          </w:tcPr>
          <w:p w:rsidR="0059744C" w:rsidRPr="000230AE" w:rsidRDefault="0059744C" w:rsidP="005D67E6">
            <w:pPr>
              <w:spacing w:line="276" w:lineRule="auto"/>
              <w:ind w:right="567"/>
              <w:jc w:val="both"/>
              <w:rPr>
                <w:b/>
              </w:rPr>
            </w:pPr>
            <w:r w:rsidRPr="000230AE">
              <w:rPr>
                <w:b/>
              </w:rPr>
              <w:t xml:space="preserve">Variance between final and budget actual </w:t>
            </w:r>
          </w:p>
        </w:tc>
      </w:tr>
      <w:tr w:rsidR="0059744C" w:rsidTr="009D730A">
        <w:tc>
          <w:tcPr>
            <w:tcW w:w="1975" w:type="dxa"/>
          </w:tcPr>
          <w:p w:rsidR="0059744C" w:rsidRPr="006437B4" w:rsidRDefault="0059744C" w:rsidP="005D67E6">
            <w:pPr>
              <w:spacing w:line="276" w:lineRule="auto"/>
              <w:ind w:right="567"/>
              <w:rPr>
                <w:b/>
              </w:rPr>
            </w:pPr>
            <w:r w:rsidRPr="00EA4B64">
              <w:rPr>
                <w:b/>
              </w:rPr>
              <w:t>Total revenue from non-exchange transactions</w:t>
            </w:r>
          </w:p>
        </w:tc>
        <w:tc>
          <w:tcPr>
            <w:tcW w:w="2498" w:type="dxa"/>
          </w:tcPr>
          <w:p w:rsidR="0059744C" w:rsidRDefault="0059744C" w:rsidP="005D67E6">
            <w:pPr>
              <w:spacing w:line="276" w:lineRule="auto"/>
              <w:ind w:right="567"/>
              <w:jc w:val="both"/>
            </w:pPr>
            <w:r>
              <w:t>R</w:t>
            </w:r>
            <w:r w:rsidRPr="00903169">
              <w:t>43 422 676</w:t>
            </w:r>
          </w:p>
        </w:tc>
        <w:tc>
          <w:tcPr>
            <w:tcW w:w="2578" w:type="dxa"/>
          </w:tcPr>
          <w:p w:rsidR="0059744C" w:rsidRDefault="0059744C" w:rsidP="005D67E6">
            <w:pPr>
              <w:spacing w:line="276" w:lineRule="auto"/>
              <w:ind w:right="567"/>
              <w:jc w:val="both"/>
            </w:pPr>
            <w:r>
              <w:t>R</w:t>
            </w:r>
            <w:r w:rsidRPr="00903169">
              <w:t>43 438 733</w:t>
            </w:r>
          </w:p>
        </w:tc>
        <w:tc>
          <w:tcPr>
            <w:tcW w:w="2578" w:type="dxa"/>
          </w:tcPr>
          <w:p w:rsidR="0059744C" w:rsidRDefault="0059744C" w:rsidP="005D67E6">
            <w:pPr>
              <w:spacing w:line="276" w:lineRule="auto"/>
              <w:ind w:right="567"/>
              <w:jc w:val="both"/>
            </w:pPr>
            <w:r>
              <w:t>R</w:t>
            </w:r>
            <w:r w:rsidRPr="005F3A59">
              <w:t>43 438 733</w:t>
            </w:r>
          </w:p>
        </w:tc>
      </w:tr>
      <w:tr w:rsidR="0059744C" w:rsidTr="009D730A">
        <w:tc>
          <w:tcPr>
            <w:tcW w:w="1975" w:type="dxa"/>
          </w:tcPr>
          <w:p w:rsidR="0059744C" w:rsidRPr="006437B4" w:rsidRDefault="0059744C" w:rsidP="005D67E6">
            <w:pPr>
              <w:spacing w:line="276" w:lineRule="auto"/>
              <w:ind w:right="567"/>
              <w:rPr>
                <w:b/>
              </w:rPr>
            </w:pPr>
            <w:r w:rsidRPr="006437B4">
              <w:rPr>
                <w:b/>
              </w:rPr>
              <w:t xml:space="preserve">Expenditure </w:t>
            </w:r>
          </w:p>
        </w:tc>
        <w:tc>
          <w:tcPr>
            <w:tcW w:w="2498" w:type="dxa"/>
          </w:tcPr>
          <w:p w:rsidR="0059744C" w:rsidRDefault="0059744C" w:rsidP="005D67E6">
            <w:pPr>
              <w:spacing w:line="276" w:lineRule="auto"/>
              <w:ind w:right="567"/>
              <w:jc w:val="both"/>
            </w:pPr>
            <w:r>
              <w:t>R</w:t>
            </w:r>
            <w:r w:rsidRPr="00F352FD">
              <w:t>(44 229 905)</w:t>
            </w:r>
          </w:p>
        </w:tc>
        <w:tc>
          <w:tcPr>
            <w:tcW w:w="2578" w:type="dxa"/>
          </w:tcPr>
          <w:p w:rsidR="0059744C" w:rsidRDefault="0059744C" w:rsidP="005D67E6">
            <w:pPr>
              <w:spacing w:line="276" w:lineRule="auto"/>
              <w:ind w:right="567"/>
              <w:jc w:val="both"/>
            </w:pPr>
            <w:r>
              <w:t>R</w:t>
            </w:r>
            <w:r w:rsidRPr="00512AC6">
              <w:t>(37 181 431)</w:t>
            </w:r>
          </w:p>
        </w:tc>
        <w:tc>
          <w:tcPr>
            <w:tcW w:w="2578" w:type="dxa"/>
          </w:tcPr>
          <w:p w:rsidR="0059744C" w:rsidRDefault="0059744C" w:rsidP="005D67E6">
            <w:pPr>
              <w:spacing w:line="276" w:lineRule="auto"/>
              <w:ind w:right="567"/>
              <w:jc w:val="both"/>
            </w:pPr>
            <w:r>
              <w:t>R</w:t>
            </w:r>
            <w:r w:rsidRPr="00D500B5">
              <w:t>7 048 474</w:t>
            </w:r>
          </w:p>
        </w:tc>
      </w:tr>
      <w:tr w:rsidR="0059744C" w:rsidTr="009D730A">
        <w:tc>
          <w:tcPr>
            <w:tcW w:w="1975" w:type="dxa"/>
          </w:tcPr>
          <w:p w:rsidR="0059744C" w:rsidRPr="006437B4" w:rsidRDefault="0059744C" w:rsidP="005D67E6">
            <w:pPr>
              <w:spacing w:line="276" w:lineRule="auto"/>
              <w:ind w:right="567"/>
              <w:rPr>
                <w:b/>
              </w:rPr>
            </w:pPr>
            <w:r>
              <w:rPr>
                <w:b/>
              </w:rPr>
              <w:t xml:space="preserve">Deficit / surplus for the year </w:t>
            </w:r>
          </w:p>
        </w:tc>
        <w:tc>
          <w:tcPr>
            <w:tcW w:w="2498" w:type="dxa"/>
          </w:tcPr>
          <w:p w:rsidR="0059744C" w:rsidRDefault="0059744C" w:rsidP="005D67E6">
            <w:pPr>
              <w:spacing w:line="276" w:lineRule="auto"/>
              <w:ind w:right="567"/>
              <w:jc w:val="both"/>
            </w:pPr>
            <w:r>
              <w:t>R</w:t>
            </w:r>
            <w:r w:rsidRPr="00D500B5">
              <w:t>(807 229)</w:t>
            </w:r>
          </w:p>
        </w:tc>
        <w:tc>
          <w:tcPr>
            <w:tcW w:w="2578" w:type="dxa"/>
          </w:tcPr>
          <w:p w:rsidR="0059744C" w:rsidRDefault="0059744C" w:rsidP="005D67E6">
            <w:pPr>
              <w:spacing w:line="276" w:lineRule="auto"/>
              <w:ind w:right="567"/>
              <w:jc w:val="both"/>
            </w:pPr>
            <w:r>
              <w:t>R</w:t>
            </w:r>
            <w:r w:rsidRPr="00A3404B">
              <w:t>6 241 679</w:t>
            </w:r>
          </w:p>
        </w:tc>
        <w:tc>
          <w:tcPr>
            <w:tcW w:w="2578" w:type="dxa"/>
          </w:tcPr>
          <w:p w:rsidR="0059744C" w:rsidRDefault="0059744C" w:rsidP="005D67E6">
            <w:pPr>
              <w:spacing w:line="276" w:lineRule="auto"/>
              <w:ind w:right="567"/>
              <w:jc w:val="both"/>
            </w:pPr>
            <w:r>
              <w:t>R</w:t>
            </w:r>
            <w:r w:rsidRPr="00E1713A">
              <w:t>7 048 908</w:t>
            </w:r>
          </w:p>
        </w:tc>
      </w:tr>
    </w:tbl>
    <w:p w:rsidR="0059744C" w:rsidRDefault="0059744C" w:rsidP="005D67E6">
      <w:pPr>
        <w:spacing w:line="276" w:lineRule="auto"/>
        <w:ind w:right="567"/>
        <w:jc w:val="both"/>
      </w:pPr>
      <w:r>
        <w:tab/>
      </w:r>
    </w:p>
    <w:p w:rsidR="0059744C" w:rsidRDefault="0059744C" w:rsidP="005D67E6">
      <w:pPr>
        <w:spacing w:line="276" w:lineRule="auto"/>
        <w:ind w:right="567"/>
        <w:jc w:val="both"/>
      </w:pPr>
      <w:r>
        <w:t xml:space="preserve">2016/2017 financial year </w:t>
      </w:r>
    </w:p>
    <w:tbl>
      <w:tblPr>
        <w:tblStyle w:val="TableGrid"/>
        <w:tblW w:w="0" w:type="auto"/>
        <w:tblLook w:val="04A0" w:firstRow="1" w:lastRow="0" w:firstColumn="1" w:lastColumn="0" w:noHBand="0" w:noVBand="1"/>
      </w:tblPr>
      <w:tblGrid>
        <w:gridCol w:w="2064"/>
        <w:gridCol w:w="2415"/>
        <w:gridCol w:w="2440"/>
        <w:gridCol w:w="2475"/>
      </w:tblGrid>
      <w:tr w:rsidR="0059744C" w:rsidTr="009D730A">
        <w:tc>
          <w:tcPr>
            <w:tcW w:w="1975" w:type="dxa"/>
          </w:tcPr>
          <w:p w:rsidR="0059744C" w:rsidRPr="006437B4" w:rsidRDefault="0059744C" w:rsidP="005D67E6">
            <w:pPr>
              <w:spacing w:line="276" w:lineRule="auto"/>
              <w:ind w:right="567"/>
              <w:jc w:val="both"/>
              <w:rPr>
                <w:b/>
              </w:rPr>
            </w:pPr>
          </w:p>
        </w:tc>
        <w:tc>
          <w:tcPr>
            <w:tcW w:w="2498" w:type="dxa"/>
          </w:tcPr>
          <w:p w:rsidR="0059744C" w:rsidRPr="00283E63" w:rsidRDefault="0059744C" w:rsidP="005D67E6">
            <w:pPr>
              <w:spacing w:line="276" w:lineRule="auto"/>
              <w:ind w:right="567"/>
              <w:jc w:val="both"/>
              <w:rPr>
                <w:b/>
              </w:rPr>
            </w:pPr>
            <w:r>
              <w:rPr>
                <w:b/>
              </w:rPr>
              <w:t xml:space="preserve">Approved budget </w:t>
            </w:r>
          </w:p>
        </w:tc>
        <w:tc>
          <w:tcPr>
            <w:tcW w:w="2578" w:type="dxa"/>
          </w:tcPr>
          <w:p w:rsidR="0059744C" w:rsidRPr="000230AE" w:rsidRDefault="0059744C" w:rsidP="005D67E6">
            <w:pPr>
              <w:autoSpaceDE w:val="0"/>
              <w:autoSpaceDN w:val="0"/>
              <w:adjustRightInd w:val="0"/>
              <w:spacing w:line="276" w:lineRule="auto"/>
              <w:rPr>
                <w:b/>
                <w:bCs/>
              </w:rPr>
            </w:pPr>
            <w:r w:rsidRPr="000230AE">
              <w:rPr>
                <w:b/>
                <w:bCs/>
              </w:rPr>
              <w:t>Actual amounts on comparable basis</w:t>
            </w:r>
          </w:p>
        </w:tc>
        <w:tc>
          <w:tcPr>
            <w:tcW w:w="2578" w:type="dxa"/>
          </w:tcPr>
          <w:p w:rsidR="0059744C" w:rsidRPr="00EA4B64" w:rsidRDefault="0059744C" w:rsidP="005D67E6">
            <w:pPr>
              <w:spacing w:line="276" w:lineRule="auto"/>
              <w:ind w:right="567"/>
              <w:jc w:val="both"/>
              <w:rPr>
                <w:b/>
              </w:rPr>
            </w:pPr>
            <w:r w:rsidRPr="00EA4B64">
              <w:rPr>
                <w:b/>
              </w:rPr>
              <w:t xml:space="preserve">Variance between final and budget actual </w:t>
            </w:r>
          </w:p>
        </w:tc>
      </w:tr>
      <w:tr w:rsidR="0059744C" w:rsidTr="009D730A">
        <w:tc>
          <w:tcPr>
            <w:tcW w:w="1975" w:type="dxa"/>
          </w:tcPr>
          <w:p w:rsidR="0059744C" w:rsidRPr="006437B4" w:rsidRDefault="0059744C" w:rsidP="005D67E6">
            <w:pPr>
              <w:spacing w:line="276" w:lineRule="auto"/>
              <w:ind w:right="567"/>
              <w:rPr>
                <w:b/>
              </w:rPr>
            </w:pPr>
            <w:r w:rsidRPr="00EA4B64">
              <w:rPr>
                <w:b/>
              </w:rPr>
              <w:t>Total revenue from non-exchange transactions</w:t>
            </w:r>
          </w:p>
        </w:tc>
        <w:tc>
          <w:tcPr>
            <w:tcW w:w="2498" w:type="dxa"/>
          </w:tcPr>
          <w:p w:rsidR="0059744C" w:rsidRDefault="0059744C" w:rsidP="005D67E6">
            <w:pPr>
              <w:spacing w:line="276" w:lineRule="auto"/>
              <w:ind w:right="567"/>
              <w:jc w:val="both"/>
            </w:pPr>
            <w:r>
              <w:t xml:space="preserve">R39 127 718 </w:t>
            </w:r>
          </w:p>
        </w:tc>
        <w:tc>
          <w:tcPr>
            <w:tcW w:w="2578" w:type="dxa"/>
          </w:tcPr>
          <w:p w:rsidR="0059744C" w:rsidRDefault="0059744C" w:rsidP="005D67E6">
            <w:pPr>
              <w:spacing w:line="276" w:lineRule="auto"/>
              <w:ind w:right="567"/>
              <w:jc w:val="both"/>
            </w:pPr>
            <w:r>
              <w:t>R39 136 919</w:t>
            </w:r>
          </w:p>
        </w:tc>
        <w:tc>
          <w:tcPr>
            <w:tcW w:w="2578" w:type="dxa"/>
          </w:tcPr>
          <w:p w:rsidR="0059744C" w:rsidRDefault="0059744C" w:rsidP="005D67E6">
            <w:pPr>
              <w:spacing w:line="276" w:lineRule="auto"/>
              <w:ind w:right="567"/>
              <w:jc w:val="both"/>
            </w:pPr>
            <w:r>
              <w:t>R9 201</w:t>
            </w:r>
          </w:p>
        </w:tc>
      </w:tr>
      <w:tr w:rsidR="0059744C" w:rsidTr="009D730A">
        <w:tc>
          <w:tcPr>
            <w:tcW w:w="1975" w:type="dxa"/>
          </w:tcPr>
          <w:p w:rsidR="0059744C" w:rsidRPr="006437B4" w:rsidRDefault="0059744C" w:rsidP="005D67E6">
            <w:pPr>
              <w:spacing w:line="276" w:lineRule="auto"/>
              <w:ind w:right="567"/>
              <w:rPr>
                <w:b/>
              </w:rPr>
            </w:pPr>
            <w:r w:rsidRPr="006437B4">
              <w:rPr>
                <w:b/>
              </w:rPr>
              <w:t xml:space="preserve">Expenditure </w:t>
            </w:r>
          </w:p>
        </w:tc>
        <w:tc>
          <w:tcPr>
            <w:tcW w:w="2498" w:type="dxa"/>
          </w:tcPr>
          <w:p w:rsidR="0059744C" w:rsidRDefault="0059744C" w:rsidP="005D67E6">
            <w:pPr>
              <w:spacing w:line="276" w:lineRule="auto"/>
              <w:ind w:right="567"/>
              <w:jc w:val="both"/>
            </w:pPr>
            <w:r>
              <w:t>R(44 792 334)</w:t>
            </w:r>
          </w:p>
        </w:tc>
        <w:tc>
          <w:tcPr>
            <w:tcW w:w="2578" w:type="dxa"/>
          </w:tcPr>
          <w:p w:rsidR="0059744C" w:rsidRDefault="0059744C" w:rsidP="005D67E6">
            <w:pPr>
              <w:spacing w:line="276" w:lineRule="auto"/>
              <w:ind w:right="567"/>
              <w:jc w:val="both"/>
            </w:pPr>
            <w:r>
              <w:t xml:space="preserve">R(46 544 026) </w:t>
            </w:r>
          </w:p>
        </w:tc>
        <w:tc>
          <w:tcPr>
            <w:tcW w:w="2578" w:type="dxa"/>
          </w:tcPr>
          <w:p w:rsidR="0059744C" w:rsidRDefault="0059744C" w:rsidP="005D67E6">
            <w:pPr>
              <w:spacing w:line="276" w:lineRule="auto"/>
              <w:ind w:right="567"/>
              <w:jc w:val="both"/>
            </w:pPr>
            <w:r>
              <w:t xml:space="preserve">R1 751 692 </w:t>
            </w:r>
          </w:p>
        </w:tc>
      </w:tr>
      <w:tr w:rsidR="0059744C" w:rsidTr="009D730A">
        <w:tc>
          <w:tcPr>
            <w:tcW w:w="1975" w:type="dxa"/>
          </w:tcPr>
          <w:p w:rsidR="0059744C" w:rsidRPr="006437B4" w:rsidRDefault="0059744C" w:rsidP="005D67E6">
            <w:pPr>
              <w:spacing w:line="276" w:lineRule="auto"/>
              <w:ind w:right="567"/>
              <w:rPr>
                <w:b/>
              </w:rPr>
            </w:pPr>
            <w:r>
              <w:rPr>
                <w:b/>
              </w:rPr>
              <w:lastRenderedPageBreak/>
              <w:t xml:space="preserve">Deficit for the year </w:t>
            </w:r>
          </w:p>
        </w:tc>
        <w:tc>
          <w:tcPr>
            <w:tcW w:w="2498" w:type="dxa"/>
          </w:tcPr>
          <w:p w:rsidR="0059744C" w:rsidRDefault="0059744C" w:rsidP="005D67E6">
            <w:pPr>
              <w:spacing w:line="276" w:lineRule="auto"/>
              <w:ind w:right="567"/>
              <w:jc w:val="both"/>
            </w:pPr>
            <w:r>
              <w:t xml:space="preserve">R(5 664 616) </w:t>
            </w:r>
          </w:p>
        </w:tc>
        <w:tc>
          <w:tcPr>
            <w:tcW w:w="2578" w:type="dxa"/>
          </w:tcPr>
          <w:p w:rsidR="0059744C" w:rsidRDefault="0059744C" w:rsidP="005D67E6">
            <w:pPr>
              <w:spacing w:line="276" w:lineRule="auto"/>
              <w:ind w:right="567"/>
              <w:jc w:val="both"/>
            </w:pPr>
            <w:r>
              <w:t>R(7 417 137)</w:t>
            </w:r>
          </w:p>
        </w:tc>
        <w:tc>
          <w:tcPr>
            <w:tcW w:w="2578" w:type="dxa"/>
          </w:tcPr>
          <w:p w:rsidR="0059744C" w:rsidRDefault="0059744C" w:rsidP="005D67E6">
            <w:pPr>
              <w:spacing w:line="276" w:lineRule="auto"/>
              <w:ind w:right="567"/>
              <w:jc w:val="both"/>
            </w:pPr>
            <w:r>
              <w:t>R(1 752 521)</w:t>
            </w:r>
          </w:p>
        </w:tc>
      </w:tr>
    </w:tbl>
    <w:p w:rsidR="00F12BFC" w:rsidRDefault="00F12BFC" w:rsidP="005D67E6">
      <w:pPr>
        <w:spacing w:before="100" w:beforeAutospacing="1" w:after="100" w:afterAutospacing="1" w:line="276" w:lineRule="auto"/>
        <w:jc w:val="both"/>
        <w:outlineLvl w:val="0"/>
        <w:rPr>
          <w:b/>
        </w:rPr>
      </w:pPr>
      <w:bookmarkStart w:id="0" w:name="_GoBack"/>
      <w:bookmarkEnd w:id="0"/>
    </w:p>
    <w:p w:rsidR="0046218E" w:rsidRDefault="0046218E" w:rsidP="005D67E6">
      <w:pPr>
        <w:spacing w:line="276" w:lineRule="auto"/>
        <w:ind w:right="567"/>
        <w:jc w:val="both"/>
      </w:pPr>
      <w:r>
        <w:t xml:space="preserve">(c) In order to respond to the question of the performance of the FAIS Ombud in the past three financial years, it is first appropriate to explain that the Office does not, as court of law, ‘hear’ matters and the matters that have been resolved in the period for which feedback has been requested, where decided on the on the papers, as it were. This is one of the key distinctions between this Office and the manner in which matters are adjudicated in a court of law even though this Office retains, largely, those functions available to a court when disposing of matters. </w:t>
      </w:r>
    </w:p>
    <w:p w:rsidR="00B3662D" w:rsidRDefault="00B3662D" w:rsidP="005D67E6">
      <w:pPr>
        <w:spacing w:line="276" w:lineRule="auto"/>
        <w:ind w:right="567"/>
        <w:jc w:val="both"/>
      </w:pPr>
    </w:p>
    <w:p w:rsidR="0046218E" w:rsidRDefault="0046218E" w:rsidP="005D67E6">
      <w:pPr>
        <w:spacing w:line="276" w:lineRule="auto"/>
        <w:ind w:right="567"/>
        <w:jc w:val="both"/>
      </w:pPr>
      <w:r>
        <w:t>With that background in mind, the performance of the FAIS Ombud in the past three financial years</w:t>
      </w:r>
      <w:r w:rsidR="00B3662D">
        <w:t>, is detailed</w:t>
      </w:r>
      <w:r>
        <w:t xml:space="preserve"> below and is provided in terms of the matters received in the applicable financial year as well as how the matters were resolved, that is by dismissal, settlement, referral or determination. </w:t>
      </w:r>
    </w:p>
    <w:p w:rsidR="00B3662D" w:rsidRDefault="00B3662D" w:rsidP="005D67E6">
      <w:pPr>
        <w:spacing w:line="276" w:lineRule="auto"/>
        <w:ind w:right="567"/>
        <w:jc w:val="both"/>
      </w:pPr>
    </w:p>
    <w:p w:rsidR="0046218E" w:rsidRDefault="0046218E" w:rsidP="005D67E6">
      <w:pPr>
        <w:spacing w:line="276" w:lineRule="auto"/>
        <w:ind w:right="567"/>
        <w:jc w:val="both"/>
      </w:pPr>
      <w:r>
        <w:t>(</w:t>
      </w:r>
      <w:proofErr w:type="spellStart"/>
      <w:r>
        <w:t>i</w:t>
      </w:r>
      <w:proofErr w:type="spellEnd"/>
      <w:r>
        <w:t xml:space="preserve">) 2014/2015 financial year </w:t>
      </w:r>
    </w:p>
    <w:p w:rsidR="0046218E" w:rsidRPr="00FA0DD2" w:rsidRDefault="0046218E" w:rsidP="005D67E6">
      <w:pPr>
        <w:spacing w:line="276" w:lineRule="auto"/>
        <w:ind w:right="567"/>
        <w:jc w:val="both"/>
      </w:pPr>
      <w:r w:rsidRPr="00FA0DD2">
        <w:rPr>
          <w:b/>
        </w:rPr>
        <w:t>Number of new complaints received</w:t>
      </w:r>
      <w:r w:rsidRPr="00FA0DD2">
        <w:t xml:space="preserve"> – 9 003. </w:t>
      </w:r>
    </w:p>
    <w:p w:rsidR="0046218E" w:rsidRPr="00FA0DD2" w:rsidRDefault="0046218E" w:rsidP="005D67E6">
      <w:pPr>
        <w:spacing w:line="276" w:lineRule="auto"/>
        <w:ind w:right="567"/>
        <w:jc w:val="both"/>
      </w:pPr>
      <w:r w:rsidRPr="00FA0DD2">
        <w:t>Of the 9 003 complaints received, 3 699</w:t>
      </w:r>
      <w:r>
        <w:t xml:space="preserve"> complaints</w:t>
      </w:r>
      <w:r w:rsidRPr="00FA0DD2">
        <w:t xml:space="preserve"> were justiciable. </w:t>
      </w:r>
    </w:p>
    <w:p w:rsidR="0046218E" w:rsidRDefault="0046218E" w:rsidP="005D67E6">
      <w:pPr>
        <w:spacing w:line="276" w:lineRule="auto"/>
        <w:ind w:right="567"/>
        <w:jc w:val="both"/>
        <w:rPr>
          <w:b/>
        </w:rPr>
      </w:pPr>
      <w:r w:rsidRPr="00D03050">
        <w:rPr>
          <w:b/>
        </w:rPr>
        <w:t>How the complaints were resolved</w:t>
      </w:r>
      <w:r>
        <w:rPr>
          <w:b/>
        </w:rPr>
        <w:t xml:space="preserve">: </w:t>
      </w:r>
    </w:p>
    <w:p w:rsidR="0046218E" w:rsidRPr="00FA0DD2" w:rsidRDefault="0046218E" w:rsidP="005D67E6">
      <w:pPr>
        <w:pStyle w:val="ListParagraph"/>
        <w:numPr>
          <w:ilvl w:val="0"/>
          <w:numId w:val="4"/>
        </w:numPr>
        <w:spacing w:after="200" w:line="276" w:lineRule="auto"/>
        <w:ind w:right="567"/>
        <w:jc w:val="both"/>
      </w:pPr>
      <w:r w:rsidRPr="00FA0DD2">
        <w:t>Dismissed – 3 414</w:t>
      </w:r>
    </w:p>
    <w:p w:rsidR="0046218E" w:rsidRPr="00FA0DD2" w:rsidRDefault="0046218E" w:rsidP="005D67E6">
      <w:pPr>
        <w:pStyle w:val="ListParagraph"/>
        <w:numPr>
          <w:ilvl w:val="0"/>
          <w:numId w:val="4"/>
        </w:numPr>
        <w:spacing w:after="200" w:line="276" w:lineRule="auto"/>
        <w:ind w:right="567"/>
        <w:jc w:val="both"/>
      </w:pPr>
      <w:r w:rsidRPr="00FA0DD2">
        <w:t xml:space="preserve">Settled – 976 </w:t>
      </w:r>
    </w:p>
    <w:p w:rsidR="0046218E" w:rsidRPr="00FA0DD2" w:rsidRDefault="0046218E" w:rsidP="005D67E6">
      <w:pPr>
        <w:pStyle w:val="ListParagraph"/>
        <w:numPr>
          <w:ilvl w:val="0"/>
          <w:numId w:val="4"/>
        </w:numPr>
        <w:spacing w:after="200" w:line="276" w:lineRule="auto"/>
        <w:ind w:right="567"/>
        <w:jc w:val="both"/>
      </w:pPr>
      <w:r w:rsidRPr="00FA0DD2">
        <w:t xml:space="preserve">Determined – 45 </w:t>
      </w:r>
    </w:p>
    <w:p w:rsidR="0046218E" w:rsidRDefault="0046218E" w:rsidP="005D67E6">
      <w:pPr>
        <w:pStyle w:val="ListParagraph"/>
        <w:numPr>
          <w:ilvl w:val="0"/>
          <w:numId w:val="4"/>
        </w:numPr>
        <w:spacing w:after="200" w:line="276" w:lineRule="auto"/>
        <w:ind w:right="567"/>
        <w:jc w:val="both"/>
      </w:pPr>
      <w:r w:rsidRPr="00FA0DD2">
        <w:t>Referred</w:t>
      </w:r>
      <w:r>
        <w:t xml:space="preserve"> to other fora</w:t>
      </w:r>
      <w:r w:rsidRPr="00FA0DD2">
        <w:t xml:space="preserve"> – 4 741 </w:t>
      </w:r>
    </w:p>
    <w:p w:rsidR="0046218E" w:rsidRDefault="0046218E" w:rsidP="005D67E6">
      <w:pPr>
        <w:spacing w:line="276" w:lineRule="auto"/>
        <w:ind w:right="567"/>
        <w:jc w:val="both"/>
      </w:pPr>
      <w:r>
        <w:t xml:space="preserve">(ii) 2015/2016 financial year </w:t>
      </w:r>
    </w:p>
    <w:p w:rsidR="0046218E" w:rsidRPr="00FA0DD2" w:rsidRDefault="0046218E" w:rsidP="005D67E6">
      <w:pPr>
        <w:spacing w:line="276" w:lineRule="auto"/>
        <w:ind w:right="567"/>
        <w:jc w:val="both"/>
      </w:pPr>
      <w:r w:rsidRPr="00FA0DD2">
        <w:rPr>
          <w:b/>
        </w:rPr>
        <w:t>Number of new complaints received</w:t>
      </w:r>
      <w:r w:rsidRPr="00FA0DD2">
        <w:t xml:space="preserve"> –</w:t>
      </w:r>
      <w:r>
        <w:t xml:space="preserve"> 9 891</w:t>
      </w:r>
      <w:r w:rsidRPr="00FA0DD2">
        <w:t xml:space="preserve">. </w:t>
      </w:r>
    </w:p>
    <w:p w:rsidR="0046218E" w:rsidRPr="00FA0DD2" w:rsidRDefault="0046218E" w:rsidP="005D67E6">
      <w:pPr>
        <w:spacing w:line="276" w:lineRule="auto"/>
        <w:ind w:right="567"/>
        <w:jc w:val="both"/>
      </w:pPr>
      <w:r w:rsidRPr="00FA0DD2">
        <w:t xml:space="preserve">Of the </w:t>
      </w:r>
      <w:r>
        <w:t>9 891</w:t>
      </w:r>
      <w:r w:rsidRPr="00FA0DD2">
        <w:t xml:space="preserve"> complaints received, </w:t>
      </w:r>
      <w:r>
        <w:t xml:space="preserve">4 263 complaints </w:t>
      </w:r>
      <w:r w:rsidRPr="00FA0DD2">
        <w:t xml:space="preserve">were justiciable. </w:t>
      </w:r>
    </w:p>
    <w:p w:rsidR="0046218E" w:rsidRDefault="0046218E" w:rsidP="005D67E6">
      <w:pPr>
        <w:spacing w:line="276" w:lineRule="auto"/>
        <w:ind w:right="567"/>
        <w:jc w:val="both"/>
        <w:rPr>
          <w:b/>
        </w:rPr>
      </w:pPr>
      <w:r w:rsidRPr="00D03050">
        <w:rPr>
          <w:b/>
        </w:rPr>
        <w:t>How the complaints were resolved</w:t>
      </w:r>
      <w:r>
        <w:rPr>
          <w:b/>
        </w:rPr>
        <w:t xml:space="preserve">: </w:t>
      </w:r>
    </w:p>
    <w:p w:rsidR="0046218E" w:rsidRPr="00FA0DD2" w:rsidRDefault="0046218E" w:rsidP="005D67E6">
      <w:pPr>
        <w:pStyle w:val="ListParagraph"/>
        <w:numPr>
          <w:ilvl w:val="0"/>
          <w:numId w:val="5"/>
        </w:numPr>
        <w:spacing w:after="200" w:line="276" w:lineRule="auto"/>
        <w:ind w:right="567"/>
        <w:jc w:val="both"/>
      </w:pPr>
      <w:r w:rsidRPr="00FA0DD2">
        <w:t xml:space="preserve">Dismissed – </w:t>
      </w:r>
      <w:r>
        <w:t xml:space="preserve">3 409 </w:t>
      </w:r>
    </w:p>
    <w:p w:rsidR="0046218E" w:rsidRPr="00FA0DD2" w:rsidRDefault="0046218E" w:rsidP="005D67E6">
      <w:pPr>
        <w:pStyle w:val="ListParagraph"/>
        <w:numPr>
          <w:ilvl w:val="0"/>
          <w:numId w:val="5"/>
        </w:numPr>
        <w:spacing w:after="200" w:line="276" w:lineRule="auto"/>
        <w:ind w:right="567"/>
        <w:jc w:val="both"/>
      </w:pPr>
      <w:r w:rsidRPr="00FA0DD2">
        <w:t xml:space="preserve">Settled –  </w:t>
      </w:r>
      <w:r>
        <w:t xml:space="preserve">1 150 </w:t>
      </w:r>
    </w:p>
    <w:p w:rsidR="0046218E" w:rsidRPr="00FA0DD2" w:rsidRDefault="0046218E" w:rsidP="005D67E6">
      <w:pPr>
        <w:pStyle w:val="ListParagraph"/>
        <w:numPr>
          <w:ilvl w:val="0"/>
          <w:numId w:val="5"/>
        </w:numPr>
        <w:spacing w:after="200" w:line="276" w:lineRule="auto"/>
        <w:ind w:right="567"/>
        <w:jc w:val="both"/>
      </w:pPr>
      <w:r w:rsidRPr="00FA0DD2">
        <w:t xml:space="preserve">Determined –  </w:t>
      </w:r>
      <w:r>
        <w:t>24</w:t>
      </w:r>
    </w:p>
    <w:p w:rsidR="0046218E" w:rsidRDefault="0046218E" w:rsidP="005D67E6">
      <w:pPr>
        <w:pStyle w:val="ListParagraph"/>
        <w:numPr>
          <w:ilvl w:val="0"/>
          <w:numId w:val="5"/>
        </w:numPr>
        <w:spacing w:after="200" w:line="276" w:lineRule="auto"/>
        <w:ind w:right="567"/>
        <w:jc w:val="both"/>
      </w:pPr>
      <w:r w:rsidRPr="00FA0DD2">
        <w:t xml:space="preserve">Referred </w:t>
      </w:r>
      <w:r>
        <w:t xml:space="preserve">to other fora </w:t>
      </w:r>
      <w:r w:rsidRPr="00FA0DD2">
        <w:t>–</w:t>
      </w:r>
      <w:r>
        <w:t xml:space="preserve"> 4 706 </w:t>
      </w:r>
      <w:r w:rsidRPr="00FA0DD2">
        <w:t xml:space="preserve">  </w:t>
      </w:r>
    </w:p>
    <w:p w:rsidR="0046218E" w:rsidRDefault="0046218E" w:rsidP="005D67E6">
      <w:pPr>
        <w:spacing w:line="276" w:lineRule="auto"/>
        <w:ind w:right="567"/>
        <w:jc w:val="both"/>
      </w:pPr>
      <w:r>
        <w:t xml:space="preserve">(iii) 2016/2017 financial year </w:t>
      </w:r>
    </w:p>
    <w:p w:rsidR="0046218E" w:rsidRPr="00FA0DD2" w:rsidRDefault="0046218E" w:rsidP="005D67E6">
      <w:pPr>
        <w:spacing w:line="276" w:lineRule="auto"/>
        <w:ind w:right="567"/>
        <w:jc w:val="both"/>
      </w:pPr>
      <w:r w:rsidRPr="00FA0DD2">
        <w:rPr>
          <w:b/>
        </w:rPr>
        <w:t>Number of new complaints received</w:t>
      </w:r>
      <w:r w:rsidRPr="00FA0DD2">
        <w:t xml:space="preserve"> – </w:t>
      </w:r>
      <w:r>
        <w:t>10 864</w:t>
      </w:r>
      <w:r w:rsidRPr="00FA0DD2">
        <w:t xml:space="preserve">. </w:t>
      </w:r>
    </w:p>
    <w:p w:rsidR="0046218E" w:rsidRPr="00FA0DD2" w:rsidRDefault="0046218E" w:rsidP="005D67E6">
      <w:pPr>
        <w:spacing w:line="276" w:lineRule="auto"/>
        <w:ind w:right="567"/>
        <w:jc w:val="both"/>
      </w:pPr>
      <w:r w:rsidRPr="00FA0DD2">
        <w:t xml:space="preserve">Of the </w:t>
      </w:r>
      <w:r>
        <w:t>10 864</w:t>
      </w:r>
      <w:r w:rsidRPr="00FA0DD2">
        <w:t xml:space="preserve"> complaints received, </w:t>
      </w:r>
      <w:r>
        <w:t>5 630 complaints</w:t>
      </w:r>
      <w:r w:rsidRPr="00FA0DD2">
        <w:t xml:space="preserve"> were justiciable. </w:t>
      </w:r>
    </w:p>
    <w:p w:rsidR="0046218E" w:rsidRDefault="0046218E" w:rsidP="005D67E6">
      <w:pPr>
        <w:spacing w:line="276" w:lineRule="auto"/>
        <w:ind w:right="567"/>
        <w:jc w:val="both"/>
        <w:rPr>
          <w:b/>
        </w:rPr>
      </w:pPr>
      <w:r w:rsidRPr="00D03050">
        <w:rPr>
          <w:b/>
        </w:rPr>
        <w:t>How the complaints were resolved</w:t>
      </w:r>
      <w:r>
        <w:rPr>
          <w:b/>
        </w:rPr>
        <w:t xml:space="preserve">: </w:t>
      </w:r>
    </w:p>
    <w:p w:rsidR="0046218E" w:rsidRPr="00FA0DD2" w:rsidRDefault="0046218E" w:rsidP="005D67E6">
      <w:pPr>
        <w:pStyle w:val="ListParagraph"/>
        <w:numPr>
          <w:ilvl w:val="0"/>
          <w:numId w:val="6"/>
        </w:numPr>
        <w:spacing w:after="200" w:line="276" w:lineRule="auto"/>
        <w:ind w:right="567"/>
        <w:jc w:val="both"/>
      </w:pPr>
      <w:r w:rsidRPr="00FA0DD2">
        <w:t xml:space="preserve">Dismissed – </w:t>
      </w:r>
      <w:r>
        <w:t xml:space="preserve">5 183 </w:t>
      </w:r>
    </w:p>
    <w:p w:rsidR="0046218E" w:rsidRPr="00FA0DD2" w:rsidRDefault="0046218E" w:rsidP="005D67E6">
      <w:pPr>
        <w:pStyle w:val="ListParagraph"/>
        <w:numPr>
          <w:ilvl w:val="0"/>
          <w:numId w:val="6"/>
        </w:numPr>
        <w:spacing w:after="200" w:line="276" w:lineRule="auto"/>
        <w:ind w:right="567"/>
        <w:jc w:val="both"/>
      </w:pPr>
      <w:r w:rsidRPr="00FA0DD2">
        <w:t xml:space="preserve">Settled – </w:t>
      </w:r>
      <w:r>
        <w:t>1005</w:t>
      </w:r>
      <w:r w:rsidRPr="00FA0DD2">
        <w:t xml:space="preserve"> </w:t>
      </w:r>
    </w:p>
    <w:p w:rsidR="0046218E" w:rsidRPr="00FA0DD2" w:rsidRDefault="0046218E" w:rsidP="005D67E6">
      <w:pPr>
        <w:pStyle w:val="ListParagraph"/>
        <w:numPr>
          <w:ilvl w:val="0"/>
          <w:numId w:val="6"/>
        </w:numPr>
        <w:spacing w:after="200" w:line="276" w:lineRule="auto"/>
        <w:ind w:right="567"/>
        <w:jc w:val="both"/>
      </w:pPr>
      <w:r w:rsidRPr="00FA0DD2">
        <w:lastRenderedPageBreak/>
        <w:t xml:space="preserve">Determined –  </w:t>
      </w:r>
      <w:r>
        <w:t>68</w:t>
      </w:r>
    </w:p>
    <w:p w:rsidR="0046218E" w:rsidRDefault="0046218E" w:rsidP="005D67E6">
      <w:pPr>
        <w:pStyle w:val="ListParagraph"/>
        <w:numPr>
          <w:ilvl w:val="0"/>
          <w:numId w:val="6"/>
        </w:numPr>
        <w:spacing w:after="200" w:line="276" w:lineRule="auto"/>
        <w:ind w:right="567"/>
        <w:jc w:val="both"/>
      </w:pPr>
      <w:r w:rsidRPr="00FA0DD2">
        <w:t xml:space="preserve">Referred </w:t>
      </w:r>
      <w:r>
        <w:t xml:space="preserve">to other fora </w:t>
      </w:r>
      <w:r w:rsidRPr="00FA0DD2">
        <w:t xml:space="preserve">–  </w:t>
      </w:r>
      <w:r>
        <w:t>4 769</w:t>
      </w:r>
    </w:p>
    <w:p w:rsidR="00B05329" w:rsidRDefault="0046218E" w:rsidP="005D67E6">
      <w:pPr>
        <w:spacing w:line="276" w:lineRule="auto"/>
        <w:ind w:right="567"/>
        <w:jc w:val="both"/>
      </w:pPr>
      <w:r w:rsidRPr="002518D9">
        <w:t>(</w:t>
      </w:r>
      <w:r w:rsidRPr="00B05329">
        <w:t>d)</w:t>
      </w:r>
      <w:r w:rsidR="00B030B4">
        <w:t xml:space="preserve"> </w:t>
      </w:r>
      <w:r w:rsidRPr="00B05329">
        <w:t>Original cost of setting up the office?</w:t>
      </w:r>
    </w:p>
    <w:p w:rsidR="0046218E" w:rsidRDefault="009F32E1" w:rsidP="005D67E6">
      <w:pPr>
        <w:spacing w:line="276" w:lineRule="auto"/>
        <w:ind w:right="567"/>
        <w:jc w:val="both"/>
      </w:pPr>
      <w:r>
        <w:t xml:space="preserve">The information pertaining to the costs incurred in setting up the Office </w:t>
      </w:r>
      <w:r w:rsidR="00F455C1">
        <w:t xml:space="preserve">while available, could not be obtained in time to submit the response by the date requested. The information has been requested from the relevant authority, that is, from the board of the former Financial Services Board and will be provided made available to you on receipt thereof. </w:t>
      </w:r>
    </w:p>
    <w:p w:rsidR="001D1319" w:rsidRDefault="001D1319" w:rsidP="005D67E6">
      <w:pPr>
        <w:spacing w:line="276" w:lineRule="auto"/>
        <w:ind w:right="567"/>
        <w:jc w:val="both"/>
      </w:pPr>
    </w:p>
    <w:p w:rsidR="0046218E" w:rsidRDefault="0046218E" w:rsidP="005D67E6">
      <w:pPr>
        <w:spacing w:line="276" w:lineRule="auto"/>
        <w:ind w:right="567"/>
        <w:jc w:val="both"/>
      </w:pPr>
      <w:r>
        <w:t xml:space="preserve">(e) The staffing structure of the FAIS Ombud is comprised firstly of the Ombud, as the accounting officer for the Office and is then divided into two structures or teams which are further subdivided. These teams are the technical team and the support team. The technical team comprises of the Adjudication Case Management and Case Administration departments while the support teams are the finance, IT, HR, office and risk management departments. </w:t>
      </w:r>
    </w:p>
    <w:p w:rsidR="009C19C8" w:rsidRDefault="009C19C8" w:rsidP="005D67E6">
      <w:pPr>
        <w:spacing w:line="276" w:lineRule="auto"/>
        <w:ind w:right="567"/>
        <w:jc w:val="both"/>
      </w:pPr>
    </w:p>
    <w:p w:rsidR="0046218E" w:rsidRDefault="0046218E" w:rsidP="005D67E6">
      <w:pPr>
        <w:spacing w:line="276" w:lineRule="auto"/>
        <w:ind w:right="567"/>
        <w:jc w:val="both"/>
      </w:pPr>
      <w:r>
        <w:t xml:space="preserve">(f) The FAIS Ombud is located in Pretoria South Africa. </w:t>
      </w:r>
    </w:p>
    <w:p w:rsidR="009C19C8" w:rsidRDefault="009C19C8" w:rsidP="005D67E6">
      <w:pPr>
        <w:spacing w:line="276" w:lineRule="auto"/>
        <w:ind w:right="567"/>
        <w:jc w:val="both"/>
      </w:pPr>
    </w:p>
    <w:p w:rsidR="0046218E" w:rsidRDefault="0046218E" w:rsidP="005D67E6">
      <w:pPr>
        <w:spacing w:line="276" w:lineRule="auto"/>
        <w:ind w:right="567"/>
        <w:jc w:val="both"/>
      </w:pPr>
      <w:r>
        <w:t>(g) The FAIS Ombud resolves those matters, described in the answer to question (b</w:t>
      </w:r>
      <w:proofErr w:type="gramStart"/>
      <w:r>
        <w:t>)(</w:t>
      </w:r>
      <w:proofErr w:type="gramEnd"/>
      <w:r>
        <w:t xml:space="preserve">ii) in the manner prescribed by section 20(3) of the FAIS Act, namely through mediation, conciliation and arbitration. These methods employed by the FAIS Ombud are provided for in and approved by section 27 of the FAIS Act. </w:t>
      </w:r>
    </w:p>
    <w:p w:rsidR="00E42CEC" w:rsidRDefault="00E42CEC" w:rsidP="005D67E6">
      <w:pPr>
        <w:spacing w:line="276" w:lineRule="auto"/>
        <w:ind w:right="567"/>
        <w:jc w:val="both"/>
      </w:pPr>
    </w:p>
    <w:p w:rsidR="0046218E" w:rsidRDefault="0046218E" w:rsidP="005D67E6">
      <w:pPr>
        <w:spacing w:line="276" w:lineRule="auto"/>
        <w:ind w:right="567"/>
        <w:jc w:val="both"/>
      </w:pPr>
      <w:r>
        <w:t xml:space="preserve">The FAIS Ombud delivers its services through the processes prescribed by the FAIS Act and as outlined in the Rules promulgated thereunder (the Rules on Proceedings of the Office of the Ombud for Financial Services Providers). </w:t>
      </w:r>
    </w:p>
    <w:p w:rsidR="0086350F" w:rsidRPr="00711FE4" w:rsidRDefault="0086350F" w:rsidP="005D67E6">
      <w:pPr>
        <w:spacing w:line="276" w:lineRule="auto"/>
        <w:ind w:right="567"/>
        <w:jc w:val="both"/>
      </w:pPr>
    </w:p>
    <w:p w:rsidR="001F4B50" w:rsidRPr="001B0917" w:rsidRDefault="0046218E" w:rsidP="005D67E6">
      <w:pPr>
        <w:spacing w:line="276" w:lineRule="auto"/>
        <w:ind w:right="567"/>
        <w:jc w:val="both"/>
        <w:rPr>
          <w:rFonts w:ascii="Arial" w:hAnsi="Arial" w:cs="Arial"/>
          <w:b/>
          <w:sz w:val="22"/>
          <w:szCs w:val="22"/>
        </w:rPr>
      </w:pPr>
      <w:r>
        <w:t xml:space="preserve">It is also worthwhile to note that the services of the FAIS Ombud are free and accessible. The accessibility of the Office is achieved in a number of ways, including, firstly, </w:t>
      </w:r>
      <w:proofErr w:type="spellStart"/>
      <w:r>
        <w:t>through</w:t>
      </w:r>
      <w:proofErr w:type="spellEnd"/>
      <w:r>
        <w:t xml:space="preserve"> not prescribing that complaints be couched in a manner that would otherwise </w:t>
      </w:r>
      <w:r w:rsidRPr="0046218E">
        <w:rPr>
          <w:lang w:val="en-ZA"/>
        </w:rPr>
        <w:t>marginalise</w:t>
      </w:r>
      <w:r>
        <w:t xml:space="preserve"> or exclude certain groups of the populace through the use of legalese or technical language. In addition, accessibility is also achieved because the Office does not prescribe that complaints be lodged in a particular language but accepts complaints lodged in any of the official languages. Communication to stakeholders, which include complainants and financial services providers, is also pitched at an appropriate level with due regard of the intended recipient of the communication. The FAIS Ombud, in complying with the processes that must be observed in the provision of its services, thus maintains that its services are for people from all backgrounds and the manner in which it renders its services, fosters an environment that will </w:t>
      </w:r>
      <w:r w:rsidRPr="0046218E">
        <w:rPr>
          <w:lang w:val="en-ZA"/>
        </w:rPr>
        <w:t>realise</w:t>
      </w:r>
      <w:r>
        <w:t xml:space="preserve"> the ethos of the </w:t>
      </w:r>
      <w:r w:rsidRPr="0046218E">
        <w:rPr>
          <w:lang w:val="en-ZA"/>
        </w:rPr>
        <w:t>organisation</w:t>
      </w:r>
      <w:r>
        <w:t xml:space="preserve">. </w:t>
      </w:r>
    </w:p>
    <w:p w:rsidR="00B77F67" w:rsidRPr="001B0917" w:rsidRDefault="00B77F67" w:rsidP="005D67E6">
      <w:pPr>
        <w:spacing w:line="276" w:lineRule="auto"/>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E7182"/>
    <w:multiLevelType w:val="hybridMultilevel"/>
    <w:tmpl w:val="E696A2D4"/>
    <w:lvl w:ilvl="0" w:tplc="CB925E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5E4DC3"/>
    <w:multiLevelType w:val="hybridMultilevel"/>
    <w:tmpl w:val="E696A2D4"/>
    <w:lvl w:ilvl="0" w:tplc="CB925E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3037E5B"/>
    <w:multiLevelType w:val="hybridMultilevel"/>
    <w:tmpl w:val="E696A2D4"/>
    <w:lvl w:ilvl="0" w:tplc="CB925E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6A41"/>
    <w:rsid w:val="00020C04"/>
    <w:rsid w:val="000230AE"/>
    <w:rsid w:val="00023BC3"/>
    <w:rsid w:val="00042E4A"/>
    <w:rsid w:val="00063E28"/>
    <w:rsid w:val="000C2BEF"/>
    <w:rsid w:val="000C48D8"/>
    <w:rsid w:val="000E1B36"/>
    <w:rsid w:val="000F3B14"/>
    <w:rsid w:val="001433AE"/>
    <w:rsid w:val="0014441E"/>
    <w:rsid w:val="0015727B"/>
    <w:rsid w:val="00197576"/>
    <w:rsid w:val="001B0917"/>
    <w:rsid w:val="001D1319"/>
    <w:rsid w:val="001D4937"/>
    <w:rsid w:val="001E3FB5"/>
    <w:rsid w:val="001E6902"/>
    <w:rsid w:val="001F4B50"/>
    <w:rsid w:val="00207912"/>
    <w:rsid w:val="0022502D"/>
    <w:rsid w:val="002855CE"/>
    <w:rsid w:val="002867DD"/>
    <w:rsid w:val="002A4157"/>
    <w:rsid w:val="002F6E86"/>
    <w:rsid w:val="003421BD"/>
    <w:rsid w:val="00344553"/>
    <w:rsid w:val="00351BF5"/>
    <w:rsid w:val="003938C9"/>
    <w:rsid w:val="003D15E5"/>
    <w:rsid w:val="003F1A95"/>
    <w:rsid w:val="00421CCC"/>
    <w:rsid w:val="0043065E"/>
    <w:rsid w:val="0046218E"/>
    <w:rsid w:val="00472D86"/>
    <w:rsid w:val="00485B2E"/>
    <w:rsid w:val="004A078E"/>
    <w:rsid w:val="004F43FB"/>
    <w:rsid w:val="005141B3"/>
    <w:rsid w:val="00522F77"/>
    <w:rsid w:val="00532BB4"/>
    <w:rsid w:val="00533C35"/>
    <w:rsid w:val="005706F1"/>
    <w:rsid w:val="00574E19"/>
    <w:rsid w:val="0059744C"/>
    <w:rsid w:val="005D67E6"/>
    <w:rsid w:val="00613FC6"/>
    <w:rsid w:val="006239F1"/>
    <w:rsid w:val="00624D20"/>
    <w:rsid w:val="0062770E"/>
    <w:rsid w:val="0064275F"/>
    <w:rsid w:val="00646E7C"/>
    <w:rsid w:val="00647EF2"/>
    <w:rsid w:val="00653A85"/>
    <w:rsid w:val="00685058"/>
    <w:rsid w:val="00692A4B"/>
    <w:rsid w:val="00693A64"/>
    <w:rsid w:val="006D1766"/>
    <w:rsid w:val="007118EA"/>
    <w:rsid w:val="00726A9C"/>
    <w:rsid w:val="007359BF"/>
    <w:rsid w:val="00743F26"/>
    <w:rsid w:val="007540E0"/>
    <w:rsid w:val="0076668B"/>
    <w:rsid w:val="00766992"/>
    <w:rsid w:val="007749D9"/>
    <w:rsid w:val="00780F57"/>
    <w:rsid w:val="007914E0"/>
    <w:rsid w:val="007A32AF"/>
    <w:rsid w:val="007B1BA1"/>
    <w:rsid w:val="007D4060"/>
    <w:rsid w:val="007E56A2"/>
    <w:rsid w:val="00803AC4"/>
    <w:rsid w:val="00813FF0"/>
    <w:rsid w:val="008321A4"/>
    <w:rsid w:val="00852DC3"/>
    <w:rsid w:val="0086350F"/>
    <w:rsid w:val="00876CBB"/>
    <w:rsid w:val="00891265"/>
    <w:rsid w:val="008C2559"/>
    <w:rsid w:val="008E01C3"/>
    <w:rsid w:val="008E4142"/>
    <w:rsid w:val="00911717"/>
    <w:rsid w:val="009163A5"/>
    <w:rsid w:val="00953363"/>
    <w:rsid w:val="0096007E"/>
    <w:rsid w:val="009A18A7"/>
    <w:rsid w:val="009C19C8"/>
    <w:rsid w:val="009E1AB2"/>
    <w:rsid w:val="009F32E1"/>
    <w:rsid w:val="00A02200"/>
    <w:rsid w:val="00A45FE5"/>
    <w:rsid w:val="00A525F0"/>
    <w:rsid w:val="00A566A2"/>
    <w:rsid w:val="00A5731A"/>
    <w:rsid w:val="00A677C3"/>
    <w:rsid w:val="00A72B9B"/>
    <w:rsid w:val="00AA4ED9"/>
    <w:rsid w:val="00AD00CE"/>
    <w:rsid w:val="00AD5C9B"/>
    <w:rsid w:val="00AE07DE"/>
    <w:rsid w:val="00B030B4"/>
    <w:rsid w:val="00B03AF4"/>
    <w:rsid w:val="00B03DD6"/>
    <w:rsid w:val="00B05329"/>
    <w:rsid w:val="00B20E37"/>
    <w:rsid w:val="00B35E0C"/>
    <w:rsid w:val="00B3662D"/>
    <w:rsid w:val="00B447E6"/>
    <w:rsid w:val="00B77F67"/>
    <w:rsid w:val="00B913C7"/>
    <w:rsid w:val="00B95452"/>
    <w:rsid w:val="00BC1F93"/>
    <w:rsid w:val="00BC3150"/>
    <w:rsid w:val="00BD31C6"/>
    <w:rsid w:val="00BE413C"/>
    <w:rsid w:val="00C12CED"/>
    <w:rsid w:val="00C25C7E"/>
    <w:rsid w:val="00C312EA"/>
    <w:rsid w:val="00C44C35"/>
    <w:rsid w:val="00C472D6"/>
    <w:rsid w:val="00C60822"/>
    <w:rsid w:val="00CB4FDB"/>
    <w:rsid w:val="00CB51AD"/>
    <w:rsid w:val="00CC2F3E"/>
    <w:rsid w:val="00D01E04"/>
    <w:rsid w:val="00D363B6"/>
    <w:rsid w:val="00D67317"/>
    <w:rsid w:val="00DB2463"/>
    <w:rsid w:val="00DC769E"/>
    <w:rsid w:val="00DD5296"/>
    <w:rsid w:val="00DE122E"/>
    <w:rsid w:val="00DE76CB"/>
    <w:rsid w:val="00DF0D26"/>
    <w:rsid w:val="00E1426C"/>
    <w:rsid w:val="00E42AEE"/>
    <w:rsid w:val="00E42CEC"/>
    <w:rsid w:val="00E55071"/>
    <w:rsid w:val="00E60EE1"/>
    <w:rsid w:val="00E77DF6"/>
    <w:rsid w:val="00E8352B"/>
    <w:rsid w:val="00EA468F"/>
    <w:rsid w:val="00EA47DA"/>
    <w:rsid w:val="00EA6A49"/>
    <w:rsid w:val="00EC4BF6"/>
    <w:rsid w:val="00F03C60"/>
    <w:rsid w:val="00F12BFC"/>
    <w:rsid w:val="00F455C1"/>
    <w:rsid w:val="00F51C17"/>
    <w:rsid w:val="00F5571A"/>
    <w:rsid w:val="00F65949"/>
    <w:rsid w:val="00F754AB"/>
    <w:rsid w:val="00F87EA6"/>
    <w:rsid w:val="00FB0ABC"/>
    <w:rsid w:val="00FC2064"/>
    <w:rsid w:val="00FD59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6ACF70-8897-46F4-B52A-B1AA9BA2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5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61EE4-0E33-4119-8F28-F0DEFE89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1174</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2018-04-30T13:35:00Z</cp:lastPrinted>
  <dcterms:created xsi:type="dcterms:W3CDTF">2018-06-13T12:13:00Z</dcterms:created>
  <dcterms:modified xsi:type="dcterms:W3CDTF">2018-06-13T12:13:00Z</dcterms:modified>
</cp:coreProperties>
</file>