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210799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231504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210799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210799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WRITTEN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210799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1195</w:t>
      </w:r>
    </w:p>
    <w:p w:rsidR="00E83E3C" w:rsidRDefault="00210799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25 MARCH 2022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9B4963" w:rsidRDefault="00210799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CE4FF1" w:rsidRDefault="00210799" w:rsidP="00D541B3">
      <w:pPr>
        <w:spacing w:line="360" w:lineRule="auto"/>
        <w:jc w:val="both"/>
      </w:pPr>
      <w:r>
        <w:rPr>
          <w:rFonts w:ascii="Arial" w:eastAsia="Arial" w:hAnsi="Arial" w:cs="Arial"/>
          <w:b/>
          <w:bCs/>
          <w:sz w:val="22"/>
        </w:rPr>
        <w:t xml:space="preserve">1195.   Mr K </w:t>
      </w:r>
      <w:proofErr w:type="spellStart"/>
      <w:r>
        <w:rPr>
          <w:rFonts w:ascii="Arial" w:eastAsia="Arial" w:hAnsi="Arial" w:cs="Arial"/>
          <w:b/>
          <w:bCs/>
          <w:sz w:val="22"/>
        </w:rPr>
        <w:t>Ceza</w:t>
      </w:r>
      <w:proofErr w:type="spellEnd"/>
      <w:r>
        <w:rPr>
          <w:rFonts w:ascii="Arial" w:eastAsia="Arial" w:hAnsi="Arial" w:cs="Arial"/>
          <w:b/>
          <w:bCs/>
          <w:sz w:val="22"/>
        </w:rPr>
        <w:t xml:space="preserve"> (EFF) to ask the Minister of Cooperative Governance and Traditional Affairs:</w:t>
      </w:r>
    </w:p>
    <w:p w:rsidR="00CE4FF1" w:rsidRDefault="00210799" w:rsidP="00D541B3">
      <w:pPr>
        <w:spacing w:before="240" w:line="360" w:lineRule="auto"/>
        <w:ind w:left="600" w:right="300"/>
        <w:jc w:val="both"/>
      </w:pPr>
      <w:r>
        <w:rPr>
          <w:rFonts w:ascii="Arial" w:eastAsia="Arial" w:hAnsi="Arial" w:cs="Arial"/>
          <w:sz w:val="22"/>
        </w:rPr>
        <w:t xml:space="preserve">Following the delimitation of wards before the 2021 local government elections by the Municipal Demarcation Board, (a) what considerations and/or criteria were used in ensuring spatial development of affected wards and (b) which standards were used to determine and delimitate Ward 28 of the Steve </w:t>
      </w:r>
      <w:proofErr w:type="spellStart"/>
      <w:r>
        <w:rPr>
          <w:rFonts w:ascii="Arial" w:eastAsia="Arial" w:hAnsi="Arial" w:cs="Arial"/>
          <w:sz w:val="22"/>
        </w:rPr>
        <w:t>Tshwete</w:t>
      </w:r>
      <w:proofErr w:type="spellEnd"/>
      <w:r>
        <w:rPr>
          <w:rFonts w:ascii="Arial" w:eastAsia="Arial" w:hAnsi="Arial" w:cs="Arial"/>
          <w:sz w:val="22"/>
        </w:rPr>
        <w:t xml:space="preserve"> Local Municipality which has more than 800 registered voters?</w:t>
      </w:r>
      <w:r>
        <w:rPr>
          <w:rFonts w:ascii="Arial" w:eastAsia="Arial" w:hAnsi="Arial" w:cs="Arial"/>
          <w:b/>
          <w:bCs/>
          <w:sz w:val="22"/>
        </w:rPr>
        <w:t>                </w:t>
      </w:r>
      <w:r>
        <w:rPr>
          <w:rFonts w:ascii="Arial" w:eastAsia="Arial" w:hAnsi="Arial" w:cs="Arial"/>
          <w:sz w:val="22"/>
        </w:rPr>
        <w:t>NW1457E</w:t>
      </w:r>
    </w:p>
    <w:p w:rsidR="00D541B3" w:rsidRDefault="00D541B3" w:rsidP="00D541B3">
      <w:pPr>
        <w:spacing w:after="200" w:line="276" w:lineRule="auto"/>
        <w:rPr>
          <w:rFonts w:ascii="Arial" w:hAnsi="Arial" w:cs="Arial"/>
          <w:b/>
          <w:bCs/>
        </w:rPr>
      </w:pPr>
    </w:p>
    <w:p w:rsidR="00E83E3C" w:rsidRPr="0059714F" w:rsidRDefault="00210799" w:rsidP="00D541B3">
      <w:pPr>
        <w:spacing w:after="200" w:line="276" w:lineRule="auto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t>REPLY:</w:t>
      </w:r>
    </w:p>
    <w:p w:rsidR="00E83E3C" w:rsidRDefault="00E83E3C" w:rsidP="0059714F">
      <w:pPr>
        <w:contextualSpacing/>
        <w:jc w:val="both"/>
        <w:rPr>
          <w:rFonts w:ascii="Arial" w:hAnsi="Arial" w:cs="Arial"/>
          <w:b/>
          <w:bCs/>
        </w:rPr>
      </w:pPr>
    </w:p>
    <w:p w:rsidR="00CE4FF1" w:rsidRDefault="00210799" w:rsidP="00D541B3">
      <w:pPr>
        <w:jc w:val="both"/>
      </w:pPr>
      <w:r>
        <w:rPr>
          <w:rFonts w:ascii="Arial" w:eastAsia="Arial" w:hAnsi="Arial" w:cs="Arial"/>
          <w:sz w:val="22"/>
        </w:rPr>
        <w:t>The below responses are based on information provided by the Municipal Demarcation Board (MDB):</w:t>
      </w:r>
    </w:p>
    <w:p w:rsidR="00CE4FF1" w:rsidRDefault="00210799" w:rsidP="00D541B3">
      <w:pPr>
        <w:pStyle w:val="ListParagraph"/>
        <w:numPr>
          <w:ilvl w:val="0"/>
          <w:numId w:val="4"/>
        </w:numPr>
        <w:spacing w:before="240"/>
        <w:jc w:val="both"/>
      </w:pPr>
      <w:r w:rsidRPr="00D541B3">
        <w:rPr>
          <w:rFonts w:ascii="Arial" w:eastAsia="Arial" w:hAnsi="Arial" w:cs="Arial"/>
          <w:sz w:val="22"/>
        </w:rPr>
        <w:t xml:space="preserve"> The Municipal Demarcation Board (MDB) delimit wards in accordance with the criteria provided in schedule 1 of the Local Government: Municipal Structures Act. The following guidelines and principles, emanating from the above-mentioned criteria, are applied by the MDB:</w:t>
      </w:r>
    </w:p>
    <w:p w:rsidR="00CE4FF1" w:rsidRDefault="00210799">
      <w:pPr>
        <w:spacing w:before="240"/>
        <w:ind w:left="540"/>
        <w:jc w:val="both"/>
      </w:pPr>
      <w:r>
        <w:rPr>
          <w:rFonts w:ascii="Arial" w:eastAsia="Arial" w:hAnsi="Arial" w:cs="Arial"/>
          <w:sz w:val="22"/>
        </w:rPr>
        <w:t> </w:t>
      </w:r>
    </w:p>
    <w:p w:rsidR="00CE4FF1" w:rsidRDefault="00210799">
      <w:pPr>
        <w:spacing w:before="240"/>
        <w:ind w:left="600"/>
        <w:jc w:val="both"/>
      </w:pPr>
      <w:r>
        <w:rPr>
          <w:rFonts w:ascii="Arial" w:eastAsia="Arial" w:hAnsi="Arial" w:cs="Arial"/>
          <w:sz w:val="22"/>
        </w:rPr>
        <w:t>(</w:t>
      </w:r>
      <w:proofErr w:type="spellStart"/>
      <w:r>
        <w:rPr>
          <w:rFonts w:ascii="Arial" w:eastAsia="Arial" w:hAnsi="Arial" w:cs="Arial"/>
          <w:sz w:val="22"/>
        </w:rPr>
        <w:t>i</w:t>
      </w:r>
      <w:proofErr w:type="spellEnd"/>
      <w:r>
        <w:rPr>
          <w:rFonts w:ascii="Arial" w:eastAsia="Arial" w:hAnsi="Arial" w:cs="Arial"/>
          <w:sz w:val="22"/>
        </w:rPr>
        <w:t>) Keep the total number of registered voters per ward, as close as possible to the norm (</w:t>
      </w:r>
      <w:r>
        <w:rPr>
          <w:rFonts w:ascii="Arial" w:eastAsia="Arial" w:hAnsi="Arial" w:cs="Arial"/>
          <w:i/>
          <w:iCs/>
          <w:sz w:val="22"/>
        </w:rPr>
        <w:t>average number of registered voters per ward</w:t>
      </w:r>
      <w:r>
        <w:rPr>
          <w:rFonts w:ascii="Arial" w:eastAsia="Arial" w:hAnsi="Arial" w:cs="Arial"/>
          <w:sz w:val="22"/>
        </w:rPr>
        <w:t>), within the minimum and maximum allowed; </w:t>
      </w:r>
    </w:p>
    <w:p w:rsidR="00CE4FF1" w:rsidRDefault="00210799">
      <w:pPr>
        <w:spacing w:before="240"/>
        <w:ind w:left="600"/>
        <w:jc w:val="both"/>
      </w:pPr>
      <w:r>
        <w:rPr>
          <w:rFonts w:ascii="Arial" w:eastAsia="Arial" w:hAnsi="Arial" w:cs="Arial"/>
          <w:sz w:val="22"/>
        </w:rPr>
        <w:t>(ii) Avoid splitting obvious communities / groupings of villages / suburbs, traditional areas, etcetera, if at all possible;</w:t>
      </w:r>
    </w:p>
    <w:p w:rsidR="00CE4FF1" w:rsidRDefault="00210799">
      <w:pPr>
        <w:spacing w:before="240"/>
        <w:ind w:left="600"/>
        <w:jc w:val="both"/>
      </w:pPr>
      <w:r>
        <w:rPr>
          <w:rFonts w:ascii="Arial" w:eastAsia="Arial" w:hAnsi="Arial" w:cs="Arial"/>
          <w:sz w:val="22"/>
        </w:rPr>
        <w:t>(iii) Take physical characteristics into account, such as adequate road networks, and physical barriers such as a freeways, rivers, mountains, etcetera; </w:t>
      </w:r>
    </w:p>
    <w:p w:rsidR="00CE4FF1" w:rsidRDefault="00210799">
      <w:pPr>
        <w:spacing w:before="240"/>
        <w:ind w:left="600"/>
        <w:jc w:val="both"/>
      </w:pPr>
      <w:r>
        <w:rPr>
          <w:rFonts w:ascii="Arial" w:eastAsia="Arial" w:hAnsi="Arial" w:cs="Arial"/>
          <w:sz w:val="22"/>
        </w:rPr>
        <w:t>(iv) Keep the existing number of wards and boundaries the same, if possible; </w:t>
      </w:r>
    </w:p>
    <w:p w:rsidR="00CE4FF1" w:rsidRDefault="00210799">
      <w:pPr>
        <w:spacing w:before="240"/>
        <w:ind w:left="600"/>
        <w:jc w:val="both"/>
      </w:pPr>
      <w:r>
        <w:rPr>
          <w:rFonts w:ascii="Arial" w:eastAsia="Arial" w:hAnsi="Arial" w:cs="Arial"/>
          <w:sz w:val="22"/>
        </w:rPr>
        <w:t>(v) Use voting districts as building blocks and ensure that wards are contiguous; and</w:t>
      </w:r>
    </w:p>
    <w:p w:rsidR="00CE4FF1" w:rsidRDefault="00210799">
      <w:pPr>
        <w:spacing w:before="240"/>
        <w:ind w:left="600"/>
        <w:jc w:val="both"/>
      </w:pPr>
      <w:r>
        <w:rPr>
          <w:rFonts w:ascii="Arial" w:eastAsia="Arial" w:hAnsi="Arial" w:cs="Arial"/>
          <w:sz w:val="22"/>
        </w:rPr>
        <w:lastRenderedPageBreak/>
        <w:t>(vi) Avoid splitting voting districts, and cluster voting districts together to make up wards.</w:t>
      </w:r>
    </w:p>
    <w:p w:rsidR="00CE4FF1" w:rsidRDefault="00210799">
      <w:pPr>
        <w:spacing w:before="240"/>
        <w:jc w:val="both"/>
      </w:pPr>
      <w:r>
        <w:rPr>
          <w:rFonts w:ascii="Arial" w:eastAsia="Arial" w:hAnsi="Arial" w:cs="Arial"/>
          <w:sz w:val="22"/>
        </w:rPr>
        <w:t> </w:t>
      </w:r>
    </w:p>
    <w:p w:rsidR="00CE4FF1" w:rsidRDefault="00210799" w:rsidP="00D541B3">
      <w:pPr>
        <w:pStyle w:val="ListParagraph"/>
        <w:numPr>
          <w:ilvl w:val="0"/>
          <w:numId w:val="4"/>
        </w:numPr>
        <w:spacing w:before="240"/>
        <w:jc w:val="both"/>
      </w:pPr>
      <w:r w:rsidRPr="00D541B3">
        <w:rPr>
          <w:rFonts w:ascii="Arial" w:eastAsia="Arial" w:hAnsi="Arial" w:cs="Arial"/>
          <w:sz w:val="22"/>
        </w:rPr>
        <w:t xml:space="preserve"> Ward 28 was delimited with the assistance of planning officials from the Steve </w:t>
      </w:r>
      <w:proofErr w:type="spellStart"/>
      <w:r w:rsidRPr="00D541B3">
        <w:rPr>
          <w:rFonts w:ascii="Arial" w:eastAsia="Arial" w:hAnsi="Arial" w:cs="Arial"/>
          <w:sz w:val="22"/>
        </w:rPr>
        <w:t>Tshwete</w:t>
      </w:r>
      <w:proofErr w:type="spellEnd"/>
      <w:r w:rsidRPr="00D541B3">
        <w:rPr>
          <w:rFonts w:ascii="Arial" w:eastAsia="Arial" w:hAnsi="Arial" w:cs="Arial"/>
          <w:sz w:val="22"/>
        </w:rPr>
        <w:t xml:space="preserve"> Local Municipality during the technical consultation session in September 2019. The draft ward comprised of the following voting districts:</w:t>
      </w:r>
    </w:p>
    <w:p w:rsidR="00CE4FF1" w:rsidRDefault="00210799">
      <w:pPr>
        <w:spacing w:before="240"/>
        <w:ind w:left="540"/>
        <w:jc w:val="both"/>
      </w:pPr>
      <w:r>
        <w:rPr>
          <w:rFonts w:ascii="Arial" w:eastAsia="Arial" w:hAnsi="Arial" w:cs="Arial"/>
          <w:sz w:val="22"/>
        </w:rPr>
        <w:t>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4347"/>
        <w:gridCol w:w="4152"/>
      </w:tblGrid>
      <w:tr w:rsidR="00CE4FF1">
        <w:trPr>
          <w:trHeight w:val="98"/>
          <w:tblCellSpacing w:w="0" w:type="dxa"/>
        </w:trPr>
        <w:tc>
          <w:tcPr>
            <w:tcW w:w="6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NO.</w:t>
            </w:r>
          </w:p>
        </w:tc>
        <w:tc>
          <w:tcPr>
            <w:tcW w:w="4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VOTING DISTRICT</w:t>
            </w:r>
          </w:p>
        </w:tc>
        <w:tc>
          <w:tcPr>
            <w:tcW w:w="415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 NO. OF REGISTERED VOTERS</w:t>
            </w:r>
          </w:p>
        </w:tc>
      </w:tr>
      <w:tr w:rsidR="00CE4FF1">
        <w:trPr>
          <w:trHeight w:val="350"/>
          <w:tblCellSpacing w:w="0" w:type="dxa"/>
        </w:trPr>
        <w:tc>
          <w:tcPr>
            <w:tcW w:w="6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1.</w:t>
            </w:r>
          </w:p>
        </w:tc>
        <w:tc>
          <w:tcPr>
            <w:tcW w:w="4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LD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Moetanalo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Secondary School</w:t>
            </w:r>
          </w:p>
        </w:tc>
        <w:tc>
          <w:tcPr>
            <w:tcW w:w="415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3,680</w:t>
            </w:r>
          </w:p>
        </w:tc>
      </w:tr>
      <w:tr w:rsidR="00CE4FF1">
        <w:trPr>
          <w:trHeight w:val="242"/>
          <w:tblCellSpacing w:w="0" w:type="dxa"/>
        </w:trPr>
        <w:tc>
          <w:tcPr>
            <w:tcW w:w="6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2.</w:t>
            </w:r>
          </w:p>
        </w:tc>
        <w:tc>
          <w:tcPr>
            <w:tcW w:w="4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Tent at Ward 28</w:t>
            </w:r>
          </w:p>
        </w:tc>
        <w:tc>
          <w:tcPr>
            <w:tcW w:w="415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10</w:t>
            </w:r>
          </w:p>
        </w:tc>
      </w:tr>
      <w:tr w:rsidR="00CE4FF1">
        <w:trPr>
          <w:trHeight w:val="323"/>
          <w:tblCellSpacing w:w="0" w:type="dxa"/>
        </w:trPr>
        <w:tc>
          <w:tcPr>
            <w:tcW w:w="6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3.</w:t>
            </w:r>
          </w:p>
        </w:tc>
        <w:tc>
          <w:tcPr>
            <w:tcW w:w="4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Olifant River Lodge</w:t>
            </w:r>
          </w:p>
        </w:tc>
        <w:tc>
          <w:tcPr>
            <w:tcW w:w="415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277</w:t>
            </w:r>
          </w:p>
        </w:tc>
      </w:tr>
      <w:tr w:rsidR="00CE4FF1">
        <w:trPr>
          <w:trHeight w:val="116"/>
          <w:tblCellSpacing w:w="0" w:type="dxa"/>
        </w:trPr>
        <w:tc>
          <w:tcPr>
            <w:tcW w:w="6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4.</w:t>
            </w:r>
          </w:p>
        </w:tc>
        <w:tc>
          <w:tcPr>
            <w:tcW w:w="4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Uitkyk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Sports Ground (Tent)</w:t>
            </w:r>
          </w:p>
        </w:tc>
        <w:tc>
          <w:tcPr>
            <w:tcW w:w="415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443</w:t>
            </w:r>
          </w:p>
        </w:tc>
      </w:tr>
      <w:tr w:rsidR="00CE4FF1">
        <w:trPr>
          <w:trHeight w:val="368"/>
          <w:tblCellSpacing w:w="0" w:type="dxa"/>
        </w:trPr>
        <w:tc>
          <w:tcPr>
            <w:tcW w:w="4990" w:type="dxa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415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4,410</w:t>
            </w:r>
          </w:p>
        </w:tc>
      </w:tr>
    </w:tbl>
    <w:p w:rsidR="00CE4FF1" w:rsidRDefault="00210799">
      <w:pPr>
        <w:spacing w:before="240"/>
        <w:ind w:left="540"/>
        <w:jc w:val="both"/>
      </w:pPr>
      <w:r>
        <w:rPr>
          <w:rFonts w:ascii="Arial" w:eastAsia="Arial" w:hAnsi="Arial" w:cs="Arial"/>
          <w:sz w:val="22"/>
        </w:rPr>
        <w:t> </w:t>
      </w:r>
    </w:p>
    <w:p w:rsidR="00CE4FF1" w:rsidRDefault="00210799">
      <w:pPr>
        <w:spacing w:before="240"/>
        <w:ind w:left="540"/>
        <w:jc w:val="both"/>
      </w:pPr>
      <w:r>
        <w:rPr>
          <w:rFonts w:ascii="Arial" w:eastAsia="Arial" w:hAnsi="Arial" w:cs="Arial"/>
          <w:sz w:val="22"/>
        </w:rPr>
        <w:t>The minimum, average and maximum norm allowed for the municipality, as follows:</w:t>
      </w:r>
    </w:p>
    <w:p w:rsidR="00CE4FF1" w:rsidRDefault="00210799">
      <w:pPr>
        <w:spacing w:before="240"/>
        <w:ind w:left="540"/>
        <w:jc w:val="both"/>
      </w:pPr>
      <w:r>
        <w:rPr>
          <w:rFonts w:ascii="Arial" w:eastAsia="Arial" w:hAnsi="Arial" w:cs="Arial"/>
          <w:sz w:val="22"/>
        </w:rPr>
        <w:t>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7"/>
        <w:gridCol w:w="4738"/>
      </w:tblGrid>
      <w:tr w:rsidR="00CE4FF1">
        <w:trPr>
          <w:trHeight w:val="332"/>
          <w:tblCellSpacing w:w="0" w:type="dxa"/>
        </w:trPr>
        <w:tc>
          <w:tcPr>
            <w:tcW w:w="4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NORM</w:t>
            </w:r>
          </w:p>
        </w:tc>
        <w:tc>
          <w:tcPr>
            <w:tcW w:w="47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 NO. OF REGISTERED VOTERS</w:t>
            </w:r>
          </w:p>
        </w:tc>
      </w:tr>
      <w:tr w:rsidR="00CE4FF1">
        <w:trPr>
          <w:trHeight w:val="251"/>
          <w:tblCellSpacing w:w="0" w:type="dxa"/>
        </w:trPr>
        <w:tc>
          <w:tcPr>
            <w:tcW w:w="4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Minimum Norm</w:t>
            </w:r>
          </w:p>
        </w:tc>
        <w:tc>
          <w:tcPr>
            <w:tcW w:w="47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3,276</w:t>
            </w:r>
          </w:p>
        </w:tc>
      </w:tr>
      <w:tr w:rsidR="00CE4FF1">
        <w:trPr>
          <w:trHeight w:val="50"/>
          <w:tblCellSpacing w:w="0" w:type="dxa"/>
        </w:trPr>
        <w:tc>
          <w:tcPr>
            <w:tcW w:w="4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Average Norm</w:t>
            </w:r>
          </w:p>
        </w:tc>
        <w:tc>
          <w:tcPr>
            <w:tcW w:w="47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3,853</w:t>
            </w:r>
          </w:p>
        </w:tc>
      </w:tr>
      <w:tr w:rsidR="00CE4FF1">
        <w:trPr>
          <w:trHeight w:val="260"/>
          <w:tblCellSpacing w:w="0" w:type="dxa"/>
        </w:trPr>
        <w:tc>
          <w:tcPr>
            <w:tcW w:w="43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Maximum Norm</w:t>
            </w:r>
          </w:p>
        </w:tc>
        <w:tc>
          <w:tcPr>
            <w:tcW w:w="47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E4FF1" w:rsidRDefault="00210799">
            <w:pPr>
              <w:ind w:left="100" w:right="1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4,430</w:t>
            </w:r>
          </w:p>
        </w:tc>
      </w:tr>
    </w:tbl>
    <w:p w:rsidR="00CE4FF1" w:rsidRDefault="00210799">
      <w:pPr>
        <w:spacing w:before="240"/>
        <w:ind w:left="720"/>
        <w:jc w:val="both"/>
      </w:pPr>
      <w:r>
        <w:rPr>
          <w:rFonts w:ascii="Arial" w:eastAsia="Arial" w:hAnsi="Arial" w:cs="Arial"/>
          <w:sz w:val="22"/>
        </w:rPr>
        <w:t> </w:t>
      </w:r>
    </w:p>
    <w:p w:rsidR="00CE4FF1" w:rsidRDefault="00210799">
      <w:pPr>
        <w:spacing w:before="240"/>
        <w:ind w:left="540"/>
        <w:jc w:val="both"/>
      </w:pPr>
      <w:r>
        <w:rPr>
          <w:rFonts w:ascii="Arial" w:eastAsia="Arial" w:hAnsi="Arial" w:cs="Arial"/>
          <w:sz w:val="22"/>
        </w:rPr>
        <w:t>There were no objections lodged against ward 28 during the objection phase, and the MDB </w:t>
      </w:r>
      <w:proofErr w:type="spellStart"/>
      <w:r>
        <w:rPr>
          <w:rFonts w:ascii="Arial" w:eastAsia="Arial" w:hAnsi="Arial" w:cs="Arial"/>
          <w:sz w:val="22"/>
        </w:rPr>
        <w:t>therafter</w:t>
      </w:r>
      <w:proofErr w:type="spellEnd"/>
      <w:r>
        <w:rPr>
          <w:rFonts w:ascii="Arial" w:eastAsia="Arial" w:hAnsi="Arial" w:cs="Arial"/>
          <w:sz w:val="22"/>
        </w:rPr>
        <w:t xml:space="preserve"> resolved to confirm the ward and published its final determination in the Gazette.</w:t>
      </w:r>
    </w:p>
    <w:p w:rsidR="00EC6863" w:rsidRPr="0059714F" w:rsidRDefault="00EC6863" w:rsidP="00D541B3">
      <w:pPr>
        <w:spacing w:after="200" w:line="276" w:lineRule="auto"/>
        <w:rPr>
          <w:rFonts w:ascii="Arial" w:hAnsi="Arial" w:cs="Arial"/>
          <w:b/>
          <w:bCs/>
        </w:rPr>
      </w:pPr>
    </w:p>
    <w:sectPr w:rsidR="00EC6863" w:rsidRPr="0059714F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ED" w:rsidRDefault="008943ED">
      <w:r>
        <w:separator/>
      </w:r>
    </w:p>
  </w:endnote>
  <w:endnote w:type="continuationSeparator" w:id="0">
    <w:p w:rsidR="008943ED" w:rsidRDefault="0089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ED" w:rsidRDefault="008943ED">
      <w:r>
        <w:separator/>
      </w:r>
    </w:p>
  </w:footnote>
  <w:footnote w:type="continuationSeparator" w:id="0">
    <w:p w:rsidR="008943ED" w:rsidRDefault="00894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B050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7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D1B82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42210E">
      <w:start w:val="1"/>
      <w:numFmt w:val="lowerLetter"/>
      <w:lvlText w:val="%2."/>
      <w:lvlJc w:val="left"/>
      <w:pPr>
        <w:ind w:left="1080" w:hanging="360"/>
      </w:pPr>
    </w:lvl>
    <w:lvl w:ilvl="2" w:tplc="842ACD8A" w:tentative="1">
      <w:start w:val="1"/>
      <w:numFmt w:val="lowerRoman"/>
      <w:lvlText w:val="%3."/>
      <w:lvlJc w:val="right"/>
      <w:pPr>
        <w:ind w:left="1800" w:hanging="180"/>
      </w:pPr>
    </w:lvl>
    <w:lvl w:ilvl="3" w:tplc="D9B8E152" w:tentative="1">
      <w:start w:val="1"/>
      <w:numFmt w:val="decimal"/>
      <w:lvlText w:val="%4."/>
      <w:lvlJc w:val="left"/>
      <w:pPr>
        <w:ind w:left="2520" w:hanging="360"/>
      </w:pPr>
    </w:lvl>
    <w:lvl w:ilvl="4" w:tplc="B6B24E9C" w:tentative="1">
      <w:start w:val="1"/>
      <w:numFmt w:val="lowerLetter"/>
      <w:lvlText w:val="%5."/>
      <w:lvlJc w:val="left"/>
      <w:pPr>
        <w:ind w:left="3240" w:hanging="360"/>
      </w:pPr>
    </w:lvl>
    <w:lvl w:ilvl="5" w:tplc="2F704ED8" w:tentative="1">
      <w:start w:val="1"/>
      <w:numFmt w:val="lowerRoman"/>
      <w:lvlText w:val="%6."/>
      <w:lvlJc w:val="right"/>
      <w:pPr>
        <w:ind w:left="3960" w:hanging="180"/>
      </w:pPr>
    </w:lvl>
    <w:lvl w:ilvl="6" w:tplc="0CD0DF58" w:tentative="1">
      <w:start w:val="1"/>
      <w:numFmt w:val="decimal"/>
      <w:lvlText w:val="%7."/>
      <w:lvlJc w:val="left"/>
      <w:pPr>
        <w:ind w:left="4680" w:hanging="360"/>
      </w:pPr>
    </w:lvl>
    <w:lvl w:ilvl="7" w:tplc="EAECDCDE" w:tentative="1">
      <w:start w:val="1"/>
      <w:numFmt w:val="lowerLetter"/>
      <w:lvlText w:val="%8."/>
      <w:lvlJc w:val="left"/>
      <w:pPr>
        <w:ind w:left="5400" w:hanging="360"/>
      </w:pPr>
    </w:lvl>
    <w:lvl w:ilvl="8" w:tplc="A9ACA3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C78BB"/>
    <w:multiLevelType w:val="hybridMultilevel"/>
    <w:tmpl w:val="18CC8D64"/>
    <w:lvl w:ilvl="0" w:tplc="1E6C74A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79B0"/>
    <w:multiLevelType w:val="hybridMultilevel"/>
    <w:tmpl w:val="681C8B3C"/>
    <w:lvl w:ilvl="0" w:tplc="A0508508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1EF62E4E">
      <w:start w:val="1"/>
      <w:numFmt w:val="lowerLetter"/>
      <w:lvlText w:val="%2."/>
      <w:lvlJc w:val="left"/>
      <w:pPr>
        <w:ind w:left="1222" w:hanging="360"/>
      </w:pPr>
    </w:lvl>
    <w:lvl w:ilvl="2" w:tplc="CB7045E4">
      <w:start w:val="1"/>
      <w:numFmt w:val="lowerRoman"/>
      <w:lvlText w:val="%3."/>
      <w:lvlJc w:val="right"/>
      <w:pPr>
        <w:ind w:left="1942" w:hanging="180"/>
      </w:pPr>
    </w:lvl>
    <w:lvl w:ilvl="3" w:tplc="CF02F576">
      <w:start w:val="1"/>
      <w:numFmt w:val="decimal"/>
      <w:lvlText w:val="%4."/>
      <w:lvlJc w:val="left"/>
      <w:pPr>
        <w:ind w:left="2662" w:hanging="360"/>
      </w:pPr>
    </w:lvl>
    <w:lvl w:ilvl="4" w:tplc="6652E3B4">
      <w:start w:val="1"/>
      <w:numFmt w:val="lowerLetter"/>
      <w:lvlText w:val="%5."/>
      <w:lvlJc w:val="left"/>
      <w:pPr>
        <w:ind w:left="3382" w:hanging="360"/>
      </w:pPr>
    </w:lvl>
    <w:lvl w:ilvl="5" w:tplc="F7786FC6">
      <w:start w:val="1"/>
      <w:numFmt w:val="lowerRoman"/>
      <w:lvlText w:val="%6."/>
      <w:lvlJc w:val="right"/>
      <w:pPr>
        <w:ind w:left="4102" w:hanging="180"/>
      </w:pPr>
    </w:lvl>
    <w:lvl w:ilvl="6" w:tplc="62E2EE0A">
      <w:start w:val="1"/>
      <w:numFmt w:val="decimal"/>
      <w:lvlText w:val="%7."/>
      <w:lvlJc w:val="left"/>
      <w:pPr>
        <w:ind w:left="4822" w:hanging="360"/>
      </w:pPr>
    </w:lvl>
    <w:lvl w:ilvl="7" w:tplc="B69ADB96">
      <w:start w:val="1"/>
      <w:numFmt w:val="lowerLetter"/>
      <w:lvlText w:val="%8."/>
      <w:lvlJc w:val="left"/>
      <w:pPr>
        <w:ind w:left="5542" w:hanging="360"/>
      </w:pPr>
    </w:lvl>
    <w:lvl w:ilvl="8" w:tplc="C1CA1A14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E73CEA"/>
    <w:multiLevelType w:val="hybridMultilevel"/>
    <w:tmpl w:val="4D74F046"/>
    <w:lvl w:ilvl="0" w:tplc="CA06F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83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3E1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2A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82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F6B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29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A5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22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0799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1FA7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17B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2B4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2EDE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3ED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07F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50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4FF1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1B3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2A3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66AD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13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3A2BA9-FEE9-4FBE-9100-6B592FAF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Strategic Support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2022-03-31T15:57:00Z</cp:lastPrinted>
  <dcterms:created xsi:type="dcterms:W3CDTF">2022-05-03T09:41:00Z</dcterms:created>
  <dcterms:modified xsi:type="dcterms:W3CDTF">2022-05-03T09:41:00Z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