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E1" w:rsidRPr="00F25D8D" w:rsidRDefault="000E59E1" w:rsidP="000E59E1">
      <w:pPr>
        <w:pStyle w:val="DACBODYTEXT"/>
        <w:rPr>
          <w:rFonts w:cs="Arial"/>
          <w:sz w:val="32"/>
          <w:szCs w:val="32"/>
          <w:lang w:val="en-US"/>
        </w:rPr>
      </w:pPr>
      <w:bookmarkStart w:id="0" w:name="_GoBack"/>
      <w:bookmarkEnd w:id="0"/>
    </w:p>
    <w:p w:rsidR="000E59E1" w:rsidRPr="00F25D8D" w:rsidRDefault="000E59E1" w:rsidP="000E59E1">
      <w:pPr>
        <w:pStyle w:val="DACBODYTEXT"/>
        <w:ind w:left="0"/>
        <w:rPr>
          <w:rFonts w:cs="Arial"/>
          <w:sz w:val="32"/>
          <w:szCs w:val="32"/>
        </w:rPr>
      </w:pPr>
    </w:p>
    <w:p w:rsidR="000E59E1" w:rsidRPr="00F25D8D" w:rsidRDefault="000E59E1" w:rsidP="000E59E1">
      <w:pPr>
        <w:pStyle w:val="DACBODYTEXT"/>
        <w:ind w:left="0"/>
        <w:rPr>
          <w:rFonts w:cs="Arial"/>
          <w:sz w:val="32"/>
          <w:szCs w:val="32"/>
        </w:rPr>
      </w:pPr>
    </w:p>
    <w:p w:rsidR="000E59E1" w:rsidRPr="00F25D8D" w:rsidRDefault="000E59E1" w:rsidP="000E59E1">
      <w:pPr>
        <w:pStyle w:val="DACBODYTEXT"/>
        <w:ind w:left="0"/>
        <w:rPr>
          <w:rFonts w:cs="Arial"/>
          <w:sz w:val="32"/>
          <w:szCs w:val="32"/>
        </w:rPr>
      </w:pPr>
    </w:p>
    <w:p w:rsidR="000E59E1" w:rsidRPr="00F25D8D" w:rsidRDefault="000E59E1" w:rsidP="000E59E1">
      <w:pPr>
        <w:pStyle w:val="DACBODYTEXT"/>
        <w:ind w:left="0"/>
        <w:rPr>
          <w:rFonts w:cs="Arial"/>
          <w:sz w:val="32"/>
          <w:szCs w:val="32"/>
        </w:rPr>
      </w:pPr>
    </w:p>
    <w:p w:rsidR="000E59E1" w:rsidRDefault="000E59E1" w:rsidP="000E59E1">
      <w:pPr>
        <w:pStyle w:val="DACBODYTEXT"/>
        <w:ind w:left="0"/>
        <w:rPr>
          <w:rFonts w:cs="Arial"/>
          <w:sz w:val="32"/>
          <w:szCs w:val="32"/>
        </w:rPr>
      </w:pPr>
    </w:p>
    <w:p w:rsidR="000E59E1" w:rsidRDefault="000E59E1" w:rsidP="000E59E1">
      <w:pPr>
        <w:pStyle w:val="DACBODYTEXT"/>
        <w:ind w:left="0"/>
        <w:rPr>
          <w:rFonts w:cs="Arial"/>
          <w:sz w:val="32"/>
          <w:szCs w:val="32"/>
        </w:rPr>
      </w:pPr>
    </w:p>
    <w:p w:rsidR="000E59E1" w:rsidRPr="00F25D8D" w:rsidRDefault="000E59E1" w:rsidP="000E59E1">
      <w:pPr>
        <w:pStyle w:val="DACBODYTEXT"/>
        <w:ind w:left="0"/>
        <w:rPr>
          <w:rFonts w:cs="Arial"/>
          <w:sz w:val="32"/>
          <w:szCs w:val="32"/>
        </w:rPr>
      </w:pPr>
    </w:p>
    <w:p w:rsidR="000E59E1" w:rsidRDefault="000E59E1" w:rsidP="000E59E1">
      <w:pPr>
        <w:pStyle w:val="DACBODYTEXT"/>
        <w:ind w:left="0"/>
        <w:rPr>
          <w:rFonts w:cs="Arial"/>
          <w:sz w:val="32"/>
          <w:szCs w:val="32"/>
        </w:rPr>
      </w:pPr>
    </w:p>
    <w:p w:rsidR="000E59E1" w:rsidRPr="00F25D8D" w:rsidRDefault="000E59E1" w:rsidP="000E59E1">
      <w:pPr>
        <w:pStyle w:val="DACBODYTEXT"/>
        <w:ind w:left="0"/>
        <w:rPr>
          <w:rFonts w:cs="Arial"/>
          <w:sz w:val="32"/>
          <w:szCs w:val="32"/>
        </w:rPr>
      </w:pPr>
    </w:p>
    <w:p w:rsidR="000E59E1" w:rsidRPr="00F25D8D" w:rsidRDefault="000E59E1" w:rsidP="000E59E1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  <w:r w:rsidRPr="00F25D8D">
        <w:rPr>
          <w:rFonts w:cs="Arial"/>
          <w:b/>
          <w:sz w:val="32"/>
          <w:szCs w:val="32"/>
        </w:rPr>
        <w:t>NATIONAL ASSEMBLY</w:t>
      </w:r>
    </w:p>
    <w:p w:rsidR="000E59E1" w:rsidRDefault="000E59E1" w:rsidP="000E59E1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</w:p>
    <w:p w:rsidR="000E59E1" w:rsidRPr="00F25D8D" w:rsidRDefault="000E59E1" w:rsidP="000E59E1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  <w:r w:rsidRPr="00F25D8D">
        <w:rPr>
          <w:rFonts w:cs="Arial"/>
          <w:b/>
          <w:sz w:val="32"/>
          <w:szCs w:val="32"/>
          <w:u w:val="single"/>
        </w:rPr>
        <w:t>QUESTION 1189</w:t>
      </w:r>
    </w:p>
    <w:p w:rsidR="000E59E1" w:rsidRPr="00F25D8D" w:rsidRDefault="000E59E1" w:rsidP="000E59E1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sz w:val="32"/>
          <w:szCs w:val="32"/>
        </w:rPr>
      </w:pPr>
      <w:r w:rsidRPr="00F25D8D">
        <w:rPr>
          <w:rFonts w:cs="Arial"/>
          <w:b/>
          <w:sz w:val="32"/>
          <w:szCs w:val="32"/>
          <w:u w:val="single"/>
        </w:rPr>
        <w:t>FOR WRITTEN REPLY</w:t>
      </w:r>
    </w:p>
    <w:p w:rsidR="000E59E1" w:rsidRPr="00F25D8D" w:rsidRDefault="000E59E1" w:rsidP="000E59E1">
      <w:pPr>
        <w:pStyle w:val="DACBODYTEXT"/>
        <w:ind w:left="90"/>
        <w:jc w:val="both"/>
        <w:rPr>
          <w:rFonts w:cs="Arial"/>
          <w:b/>
          <w:sz w:val="32"/>
          <w:szCs w:val="32"/>
        </w:rPr>
      </w:pPr>
      <w:r w:rsidRPr="00F25D8D">
        <w:rPr>
          <w:rFonts w:cs="Arial"/>
          <w:b/>
          <w:sz w:val="32"/>
          <w:szCs w:val="32"/>
        </w:rPr>
        <w:t>INTERNAL QUESTION PAPER NO:  20-2020, DATE OF PUBLICATION 12-06- 2020: “</w:t>
      </w:r>
      <w:proofErr w:type="gramStart"/>
      <w:r w:rsidRPr="00F25D8D">
        <w:rPr>
          <w:rFonts w:cs="Arial"/>
          <w:b/>
          <w:sz w:val="32"/>
          <w:szCs w:val="32"/>
        </w:rPr>
        <w:t>Mrs  V</w:t>
      </w:r>
      <w:proofErr w:type="gramEnd"/>
      <w:r w:rsidRPr="00F25D8D">
        <w:rPr>
          <w:rFonts w:cs="Arial"/>
          <w:b/>
          <w:sz w:val="32"/>
          <w:szCs w:val="32"/>
        </w:rPr>
        <w:t xml:space="preserve"> van </w:t>
      </w:r>
      <w:proofErr w:type="spellStart"/>
      <w:r w:rsidRPr="00F25D8D">
        <w:rPr>
          <w:rFonts w:cs="Arial"/>
          <w:b/>
          <w:sz w:val="32"/>
          <w:szCs w:val="32"/>
        </w:rPr>
        <w:t>Dyk</w:t>
      </w:r>
      <w:proofErr w:type="spellEnd"/>
      <w:r w:rsidRPr="00F25D8D">
        <w:rPr>
          <w:rFonts w:cs="Arial"/>
          <w:b/>
          <w:sz w:val="32"/>
          <w:szCs w:val="32"/>
        </w:rPr>
        <w:t xml:space="preserve"> (DA) to ask the Minister of Sports, Arts and Culture”</w:t>
      </w:r>
    </w:p>
    <w:p w:rsidR="000E59E1" w:rsidRPr="00F25D8D" w:rsidRDefault="000E59E1" w:rsidP="000E59E1">
      <w:pPr>
        <w:pStyle w:val="ListParagraph"/>
        <w:spacing w:before="100" w:beforeAutospacing="1" w:after="100" w:afterAutospacing="1"/>
        <w:ind w:left="1440" w:hanging="720"/>
        <w:contextualSpacing w:val="0"/>
        <w:jc w:val="both"/>
        <w:rPr>
          <w:rFonts w:ascii="Arial" w:hAnsi="Arial" w:cs="Arial"/>
          <w:sz w:val="32"/>
          <w:szCs w:val="32"/>
        </w:rPr>
      </w:pPr>
      <w:r w:rsidRPr="00F25D8D">
        <w:rPr>
          <w:rFonts w:ascii="Arial" w:hAnsi="Arial" w:cs="Arial"/>
          <w:sz w:val="32"/>
          <w:szCs w:val="32"/>
        </w:rPr>
        <w:t>(1)</w:t>
      </w:r>
      <w:r w:rsidRPr="00F25D8D">
        <w:rPr>
          <w:rFonts w:ascii="Arial" w:hAnsi="Arial" w:cs="Arial"/>
          <w:sz w:val="32"/>
          <w:szCs w:val="32"/>
        </w:rPr>
        <w:tab/>
        <w:t>Whether the new Chief Executive Officer of the National Library of South Africa (NLSA) appointed a certain person (details furnished) while the NLSA was closed during the lockdown to curb the Covid-19 pandemic; if not, what is the position in this regard; if so, will the specified person be earning an acting allowance during lockdown;</w:t>
      </w:r>
    </w:p>
    <w:p w:rsidR="000E59E1" w:rsidRPr="00F25D8D" w:rsidRDefault="000E59E1" w:rsidP="000E59E1">
      <w:pPr>
        <w:pStyle w:val="ListParagraph"/>
        <w:spacing w:before="100" w:beforeAutospacing="1" w:after="100" w:afterAutospacing="1"/>
        <w:ind w:left="1440" w:hanging="720"/>
        <w:contextualSpacing w:val="0"/>
        <w:jc w:val="both"/>
        <w:rPr>
          <w:rFonts w:ascii="Arial" w:hAnsi="Arial" w:cs="Arial"/>
          <w:sz w:val="32"/>
          <w:szCs w:val="32"/>
        </w:rPr>
      </w:pPr>
      <w:r w:rsidRPr="00F25D8D">
        <w:rPr>
          <w:rFonts w:ascii="Arial" w:hAnsi="Arial" w:cs="Arial"/>
          <w:sz w:val="32"/>
          <w:szCs w:val="32"/>
        </w:rPr>
        <w:lastRenderedPageBreak/>
        <w:t>(2)</w:t>
      </w:r>
      <w:r w:rsidRPr="00F25D8D">
        <w:rPr>
          <w:rFonts w:ascii="Arial" w:hAnsi="Arial" w:cs="Arial"/>
          <w:sz w:val="32"/>
          <w:szCs w:val="32"/>
        </w:rPr>
        <w:tab/>
        <w:t>what (a) was the person’s salary in the former position and (b) will be the specified person’s salary in the new acting position;</w:t>
      </w:r>
    </w:p>
    <w:p w:rsidR="000E59E1" w:rsidRPr="00F25D8D" w:rsidRDefault="000E59E1" w:rsidP="000E59E1">
      <w:pPr>
        <w:pStyle w:val="ListParagraph"/>
        <w:spacing w:before="100" w:beforeAutospacing="1" w:after="100" w:afterAutospacing="1"/>
        <w:ind w:left="1440" w:hanging="720"/>
        <w:contextualSpacing w:val="0"/>
        <w:jc w:val="both"/>
        <w:rPr>
          <w:rFonts w:ascii="Arial" w:hAnsi="Arial" w:cs="Arial"/>
          <w:sz w:val="32"/>
          <w:szCs w:val="32"/>
        </w:rPr>
      </w:pPr>
      <w:r w:rsidRPr="00F25D8D">
        <w:rPr>
          <w:rFonts w:ascii="Arial" w:hAnsi="Arial" w:cs="Arial"/>
          <w:sz w:val="32"/>
          <w:szCs w:val="32"/>
        </w:rPr>
        <w:t>(3)</w:t>
      </w:r>
      <w:r w:rsidRPr="00F25D8D">
        <w:rPr>
          <w:rFonts w:ascii="Arial" w:hAnsi="Arial" w:cs="Arial"/>
          <w:sz w:val="32"/>
          <w:szCs w:val="32"/>
        </w:rPr>
        <w:tab/>
        <w:t xml:space="preserve">was the position advertised; if not, why not; if so, (a) on what date, (b) what were the criteria, (c) what number of applications were received, (d) who sat on the interview panel and (e) will he provide Mrs V van </w:t>
      </w:r>
      <w:proofErr w:type="spellStart"/>
      <w:r w:rsidRPr="00F25D8D">
        <w:rPr>
          <w:rFonts w:ascii="Arial" w:hAnsi="Arial" w:cs="Arial"/>
          <w:sz w:val="32"/>
          <w:szCs w:val="32"/>
        </w:rPr>
        <w:t>Dyk</w:t>
      </w:r>
      <w:proofErr w:type="spellEnd"/>
      <w:r w:rsidRPr="00F25D8D">
        <w:rPr>
          <w:rFonts w:ascii="Arial" w:hAnsi="Arial" w:cs="Arial"/>
          <w:sz w:val="32"/>
          <w:szCs w:val="32"/>
        </w:rPr>
        <w:t xml:space="preserve"> with the minutes of the virtual meeting of the interview panel;</w:t>
      </w:r>
    </w:p>
    <w:p w:rsidR="000E59E1" w:rsidRPr="00F25D8D" w:rsidRDefault="000E59E1" w:rsidP="000E59E1">
      <w:pPr>
        <w:pStyle w:val="ListParagraph"/>
        <w:spacing w:before="100" w:beforeAutospacing="1" w:after="100" w:afterAutospacing="1"/>
        <w:ind w:left="1440" w:hanging="720"/>
        <w:contextualSpacing w:val="0"/>
        <w:jc w:val="both"/>
        <w:rPr>
          <w:rFonts w:ascii="Arial" w:hAnsi="Arial" w:cs="Arial"/>
          <w:b/>
          <w:sz w:val="32"/>
          <w:szCs w:val="32"/>
        </w:rPr>
      </w:pPr>
      <w:r w:rsidRPr="00F25D8D">
        <w:rPr>
          <w:rFonts w:ascii="Arial" w:hAnsi="Arial" w:cs="Arial"/>
          <w:sz w:val="32"/>
          <w:szCs w:val="32"/>
        </w:rPr>
        <w:t>(4)</w:t>
      </w:r>
      <w:r w:rsidRPr="00F25D8D">
        <w:rPr>
          <w:rFonts w:ascii="Arial" w:hAnsi="Arial" w:cs="Arial"/>
          <w:sz w:val="32"/>
          <w:szCs w:val="32"/>
        </w:rPr>
        <w:tab/>
        <w:t>whether the person will oversee the Information and Communication Technology, Human Resources and Facilities departments along with her own Marketing department; if not, what is the position in this regard; if so, what are her qua</w:t>
      </w:r>
      <w:r>
        <w:rPr>
          <w:rFonts w:ascii="Arial" w:hAnsi="Arial" w:cs="Arial"/>
          <w:sz w:val="32"/>
          <w:szCs w:val="32"/>
        </w:rPr>
        <w:t xml:space="preserve">lifications in this regard? </w:t>
      </w:r>
      <w:r w:rsidRPr="00F25D8D">
        <w:rPr>
          <w:rFonts w:ascii="Arial" w:hAnsi="Arial" w:cs="Arial"/>
          <w:b/>
          <w:sz w:val="32"/>
          <w:szCs w:val="32"/>
        </w:rPr>
        <w:t>NW1494E</w:t>
      </w:r>
    </w:p>
    <w:p w:rsidR="000E59E1" w:rsidRDefault="000E59E1" w:rsidP="000E59E1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</w:p>
    <w:p w:rsidR="000E59E1" w:rsidRPr="001C259B" w:rsidRDefault="000E59E1" w:rsidP="000E59E1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F25D8D">
        <w:rPr>
          <w:rFonts w:cs="Arial"/>
          <w:b/>
          <w:sz w:val="32"/>
          <w:szCs w:val="32"/>
        </w:rPr>
        <w:t>REPLY:</w:t>
      </w:r>
    </w:p>
    <w:p w:rsidR="000E59E1" w:rsidRPr="001C259B" w:rsidRDefault="000E59E1" w:rsidP="000E59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>Yes, the specified person was appointed and will be earning an acting allowance during the lockdown in line with the NLSA’s Acting Policy.</w:t>
      </w:r>
    </w:p>
    <w:p w:rsidR="000E59E1" w:rsidRPr="00F25D8D" w:rsidRDefault="000E59E1" w:rsidP="000E59E1">
      <w:pPr>
        <w:spacing w:after="0"/>
        <w:ind w:left="360" w:right="-20"/>
        <w:jc w:val="both"/>
        <w:rPr>
          <w:rFonts w:eastAsia="Century Gothic" w:cs="Arial"/>
          <w:color w:val="000000" w:themeColor="text1"/>
          <w:sz w:val="32"/>
          <w:szCs w:val="32"/>
        </w:rPr>
      </w:pPr>
      <w:r w:rsidRPr="00F25D8D">
        <w:rPr>
          <w:rFonts w:cs="Arial"/>
          <w:color w:val="000000" w:themeColor="text1"/>
          <w:sz w:val="32"/>
          <w:szCs w:val="32"/>
        </w:rPr>
        <w:t>(2) (a) The salary scale for Directors on level 12 is from R933 995 to R1 0600.</w:t>
      </w:r>
    </w:p>
    <w:p w:rsidR="000E59E1" w:rsidRPr="00F25D8D" w:rsidRDefault="000E59E1" w:rsidP="000E59E1">
      <w:pPr>
        <w:pStyle w:val="ListParagraph"/>
        <w:spacing w:after="100" w:afterAutospacing="1" w:line="276" w:lineRule="auto"/>
        <w:ind w:left="1260" w:hanging="540"/>
        <w:contextualSpacing w:val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25D8D">
        <w:rPr>
          <w:rFonts w:ascii="Arial" w:hAnsi="Arial" w:cs="Arial"/>
          <w:color w:val="000000" w:themeColor="text1"/>
          <w:sz w:val="32"/>
          <w:szCs w:val="32"/>
        </w:rPr>
        <w:t xml:space="preserve">(b) As per the NLSA’s Acting Policy, an acting allowance is the difference between </w:t>
      </w:r>
      <w:proofErr w:type="gramStart"/>
      <w:r w:rsidRPr="00F25D8D">
        <w:rPr>
          <w:rFonts w:ascii="Arial" w:hAnsi="Arial" w:cs="Arial"/>
          <w:color w:val="000000" w:themeColor="text1"/>
          <w:sz w:val="32"/>
          <w:szCs w:val="32"/>
        </w:rPr>
        <w:t>the  current</w:t>
      </w:r>
      <w:proofErr w:type="gramEnd"/>
      <w:r w:rsidRPr="00F25D8D">
        <w:rPr>
          <w:rFonts w:ascii="Arial" w:hAnsi="Arial" w:cs="Arial"/>
          <w:color w:val="000000" w:themeColor="text1"/>
          <w:sz w:val="32"/>
          <w:szCs w:val="32"/>
        </w:rPr>
        <w:t xml:space="preserve"> package and the minimum of the position the person is acting on. The salary bracket for the position of Executive Director starts at R1.2 million.</w:t>
      </w:r>
    </w:p>
    <w:p w:rsidR="000E59E1" w:rsidRPr="00F25D8D" w:rsidRDefault="000E59E1" w:rsidP="000E59E1">
      <w:pPr>
        <w:pStyle w:val="ListParagraph"/>
        <w:spacing w:after="0" w:line="360" w:lineRule="auto"/>
        <w:ind w:left="540" w:right="-20" w:hanging="540"/>
        <w:jc w:val="both"/>
        <w:rPr>
          <w:rFonts w:ascii="Arial" w:eastAsia="Century Gothic" w:hAnsi="Arial" w:cs="Arial"/>
          <w:color w:val="000000" w:themeColor="text1"/>
          <w:sz w:val="32"/>
          <w:szCs w:val="32"/>
        </w:rPr>
      </w:pPr>
      <w:r w:rsidRPr="00F25D8D">
        <w:rPr>
          <w:rFonts w:ascii="Arial" w:hAnsi="Arial" w:cs="Arial"/>
          <w:color w:val="000000" w:themeColor="text1"/>
          <w:sz w:val="32"/>
          <w:szCs w:val="32"/>
        </w:rPr>
        <w:t xml:space="preserve">      (3) </w:t>
      </w:r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>(</w:t>
      </w:r>
      <w:proofErr w:type="gramStart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>a)  Yes</w:t>
      </w:r>
      <w:proofErr w:type="gramEnd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>, the position was advertised from 4 to 21 February 2020.</w:t>
      </w:r>
    </w:p>
    <w:p w:rsidR="000E59E1" w:rsidRPr="00F25D8D" w:rsidRDefault="000E59E1" w:rsidP="000E59E1">
      <w:pPr>
        <w:pStyle w:val="ListParagraph"/>
        <w:spacing w:after="0" w:line="360" w:lineRule="auto"/>
        <w:ind w:left="1260" w:right="-20" w:hanging="540"/>
        <w:jc w:val="both"/>
        <w:rPr>
          <w:rFonts w:ascii="Arial" w:eastAsia="Century Gothic" w:hAnsi="Arial" w:cs="Arial"/>
          <w:color w:val="000000" w:themeColor="text1"/>
          <w:sz w:val="32"/>
          <w:szCs w:val="32"/>
        </w:rPr>
      </w:pPr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lastRenderedPageBreak/>
        <w:t xml:space="preserve">(b) NQF Level 9 qualification in Business Administration/Human Resources Management/Legal or an equivalent qualification coupled with six to ten years of senior management experience in the public service. </w:t>
      </w:r>
    </w:p>
    <w:p w:rsidR="000E59E1" w:rsidRPr="00F25D8D" w:rsidRDefault="000E59E1" w:rsidP="000E59E1">
      <w:pPr>
        <w:spacing w:after="0" w:line="360" w:lineRule="auto"/>
        <w:ind w:right="-20" w:firstLine="720"/>
        <w:jc w:val="both"/>
        <w:rPr>
          <w:rFonts w:eastAsia="Century Gothic" w:cs="Arial"/>
          <w:color w:val="000000" w:themeColor="text1"/>
          <w:sz w:val="32"/>
          <w:szCs w:val="32"/>
        </w:rPr>
      </w:pPr>
      <w:r w:rsidRPr="00F25D8D">
        <w:rPr>
          <w:rFonts w:eastAsia="Century Gothic" w:cs="Arial"/>
          <w:color w:val="000000" w:themeColor="text1"/>
          <w:sz w:val="32"/>
          <w:szCs w:val="32"/>
        </w:rPr>
        <w:t>(c) Total number of applications received were 44.</w:t>
      </w:r>
    </w:p>
    <w:p w:rsidR="000E59E1" w:rsidRPr="00F25D8D" w:rsidRDefault="000E59E1" w:rsidP="000E59E1">
      <w:pPr>
        <w:spacing w:after="0" w:line="360" w:lineRule="auto"/>
        <w:ind w:left="720" w:right="-20"/>
        <w:jc w:val="both"/>
        <w:rPr>
          <w:rFonts w:eastAsia="Century Gothic" w:cs="Arial"/>
          <w:color w:val="000000" w:themeColor="text1"/>
          <w:sz w:val="32"/>
          <w:szCs w:val="32"/>
        </w:rPr>
      </w:pPr>
      <w:r w:rsidRPr="00F25D8D">
        <w:rPr>
          <w:rFonts w:eastAsia="Century Gothic" w:cs="Arial"/>
          <w:color w:val="000000" w:themeColor="text1"/>
          <w:sz w:val="32"/>
          <w:szCs w:val="32"/>
        </w:rPr>
        <w:t>(d) The Selection Panel was comprised of the following members:</w:t>
      </w:r>
    </w:p>
    <w:p w:rsidR="000E59E1" w:rsidRPr="00F25D8D" w:rsidRDefault="000E59E1" w:rsidP="000E59E1">
      <w:pPr>
        <w:pStyle w:val="ListParagraph"/>
        <w:numPr>
          <w:ilvl w:val="0"/>
          <w:numId w:val="2"/>
        </w:numPr>
        <w:spacing w:after="0" w:line="360" w:lineRule="auto"/>
        <w:ind w:right="-20"/>
        <w:jc w:val="both"/>
        <w:rPr>
          <w:rFonts w:ascii="Arial" w:eastAsia="Century Gothic" w:hAnsi="Arial" w:cs="Arial"/>
          <w:color w:val="000000" w:themeColor="text1"/>
          <w:sz w:val="32"/>
          <w:szCs w:val="32"/>
        </w:rPr>
      </w:pPr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 xml:space="preserve">Mr </w:t>
      </w:r>
      <w:proofErr w:type="spellStart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>Lufuno</w:t>
      </w:r>
      <w:proofErr w:type="spellEnd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>Nematshwerani</w:t>
      </w:r>
      <w:proofErr w:type="spellEnd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 xml:space="preserve">, Chairperson: HR &amp; </w:t>
      </w:r>
      <w:proofErr w:type="spellStart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>REMCo</w:t>
      </w:r>
      <w:proofErr w:type="spellEnd"/>
    </w:p>
    <w:p w:rsidR="000E59E1" w:rsidRPr="00F25D8D" w:rsidRDefault="000E59E1" w:rsidP="000E59E1">
      <w:pPr>
        <w:pStyle w:val="ListParagraph"/>
        <w:numPr>
          <w:ilvl w:val="0"/>
          <w:numId w:val="2"/>
        </w:numPr>
        <w:spacing w:after="0" w:line="360" w:lineRule="auto"/>
        <w:ind w:right="-20"/>
        <w:jc w:val="both"/>
        <w:rPr>
          <w:rFonts w:ascii="Arial" w:eastAsia="Century Gothic" w:hAnsi="Arial" w:cs="Arial"/>
          <w:color w:val="000000" w:themeColor="text1"/>
          <w:sz w:val="32"/>
          <w:szCs w:val="32"/>
        </w:rPr>
      </w:pPr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 xml:space="preserve">Mr Jimmy </w:t>
      </w:r>
      <w:proofErr w:type="spellStart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>Morakile</w:t>
      </w:r>
      <w:proofErr w:type="spellEnd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>, Chairperson: Information Communications Technology Board Sub-Committee</w:t>
      </w:r>
    </w:p>
    <w:p w:rsidR="000E59E1" w:rsidRPr="00F25D8D" w:rsidRDefault="000E59E1" w:rsidP="000E59E1">
      <w:pPr>
        <w:pStyle w:val="ListParagraph"/>
        <w:numPr>
          <w:ilvl w:val="0"/>
          <w:numId w:val="2"/>
        </w:numPr>
        <w:spacing w:after="0" w:line="360" w:lineRule="auto"/>
        <w:ind w:right="-20"/>
        <w:jc w:val="both"/>
        <w:rPr>
          <w:rFonts w:ascii="Arial" w:eastAsia="Century Gothic" w:hAnsi="Arial" w:cs="Arial"/>
          <w:color w:val="000000" w:themeColor="text1"/>
          <w:sz w:val="32"/>
          <w:szCs w:val="32"/>
        </w:rPr>
      </w:pPr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 xml:space="preserve">Dr </w:t>
      </w:r>
      <w:proofErr w:type="spellStart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>Buhle</w:t>
      </w:r>
      <w:proofErr w:type="spellEnd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>Mbambo-Thata</w:t>
      </w:r>
      <w:proofErr w:type="spellEnd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 xml:space="preserve">, Chairperson: Research and Knowledge Management Board Sub-Committee </w:t>
      </w:r>
    </w:p>
    <w:p w:rsidR="000E59E1" w:rsidRPr="00F25D8D" w:rsidRDefault="000E59E1" w:rsidP="000E59E1">
      <w:pPr>
        <w:pStyle w:val="ListParagraph"/>
        <w:numPr>
          <w:ilvl w:val="0"/>
          <w:numId w:val="2"/>
        </w:numPr>
        <w:spacing w:after="0" w:line="360" w:lineRule="auto"/>
        <w:ind w:right="-20"/>
        <w:jc w:val="both"/>
        <w:rPr>
          <w:rFonts w:ascii="Arial" w:eastAsia="Century Gothic" w:hAnsi="Arial" w:cs="Arial"/>
          <w:color w:val="000000" w:themeColor="text1"/>
          <w:sz w:val="32"/>
          <w:szCs w:val="32"/>
        </w:rPr>
      </w:pPr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 xml:space="preserve">Mr Kepi </w:t>
      </w:r>
      <w:proofErr w:type="spellStart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>Madumo</w:t>
      </w:r>
      <w:proofErr w:type="spellEnd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 xml:space="preserve">, National Librarian and CEO </w:t>
      </w:r>
    </w:p>
    <w:p w:rsidR="000E59E1" w:rsidRPr="00F25D8D" w:rsidRDefault="000E59E1" w:rsidP="000E59E1">
      <w:pPr>
        <w:pStyle w:val="ListParagraph"/>
        <w:numPr>
          <w:ilvl w:val="0"/>
          <w:numId w:val="2"/>
        </w:numPr>
        <w:spacing w:after="0" w:line="360" w:lineRule="auto"/>
        <w:ind w:right="-20"/>
        <w:jc w:val="both"/>
        <w:rPr>
          <w:rFonts w:ascii="Arial" w:eastAsia="Century Gothic" w:hAnsi="Arial" w:cs="Arial"/>
          <w:color w:val="000000" w:themeColor="text1"/>
          <w:sz w:val="32"/>
          <w:szCs w:val="32"/>
        </w:rPr>
      </w:pPr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 xml:space="preserve">Ms </w:t>
      </w:r>
      <w:proofErr w:type="spellStart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>Matuma</w:t>
      </w:r>
      <w:proofErr w:type="spellEnd"/>
      <w:r w:rsidRPr="00F25D8D">
        <w:rPr>
          <w:rFonts w:ascii="Arial" w:eastAsia="Century Gothic" w:hAnsi="Arial" w:cs="Arial"/>
          <w:color w:val="000000" w:themeColor="text1"/>
          <w:sz w:val="32"/>
          <w:szCs w:val="32"/>
        </w:rPr>
        <w:t xml:space="preserve"> Masipa, Director: Human Resources Management (Custodian People Processes) </w:t>
      </w:r>
    </w:p>
    <w:p w:rsidR="000E59E1" w:rsidRPr="00F25D8D" w:rsidRDefault="000E59E1" w:rsidP="000E59E1">
      <w:pPr>
        <w:spacing w:after="0" w:line="360" w:lineRule="auto"/>
        <w:ind w:left="863" w:right="-20"/>
        <w:jc w:val="both"/>
        <w:rPr>
          <w:rFonts w:eastAsia="Century Gothic" w:cs="Arial"/>
          <w:color w:val="000000" w:themeColor="text1"/>
          <w:sz w:val="32"/>
          <w:szCs w:val="32"/>
        </w:rPr>
      </w:pPr>
      <w:r w:rsidRPr="00F25D8D">
        <w:rPr>
          <w:rFonts w:eastAsia="Century Gothic" w:cs="Arial"/>
          <w:color w:val="000000" w:themeColor="text1"/>
          <w:sz w:val="32"/>
          <w:szCs w:val="32"/>
        </w:rPr>
        <w:t>(e) Unfortunately, no decision can be shared at this stage, the recruitment process is still in progress.</w:t>
      </w:r>
    </w:p>
    <w:p w:rsidR="000E59E1" w:rsidRPr="00F25D8D" w:rsidRDefault="000E59E1" w:rsidP="000E59E1">
      <w:pPr>
        <w:spacing w:after="160"/>
        <w:ind w:left="360"/>
        <w:jc w:val="both"/>
        <w:rPr>
          <w:rFonts w:cs="Arial"/>
          <w:color w:val="000000" w:themeColor="text1"/>
          <w:sz w:val="32"/>
          <w:szCs w:val="32"/>
        </w:rPr>
      </w:pPr>
    </w:p>
    <w:p w:rsidR="000E59E1" w:rsidRPr="00F25D8D" w:rsidRDefault="000E59E1" w:rsidP="000E59E1">
      <w:pPr>
        <w:pStyle w:val="DACBODYTEXT"/>
        <w:ind w:left="720"/>
        <w:jc w:val="both"/>
        <w:rPr>
          <w:rFonts w:cs="Arial"/>
          <w:color w:val="000000" w:themeColor="text1"/>
          <w:sz w:val="32"/>
          <w:szCs w:val="32"/>
          <w:lang w:val="en-US"/>
        </w:rPr>
      </w:pPr>
      <w:r w:rsidRPr="00F25D8D">
        <w:rPr>
          <w:rFonts w:eastAsia="Century Gothic" w:cs="Arial"/>
          <w:color w:val="000000" w:themeColor="text1"/>
          <w:sz w:val="32"/>
          <w:szCs w:val="32"/>
        </w:rPr>
        <w:t xml:space="preserve">(4) Yes, in the acting role the incumbent </w:t>
      </w:r>
      <w:proofErr w:type="spellStart"/>
      <w:r w:rsidRPr="00F25D8D">
        <w:rPr>
          <w:rFonts w:eastAsia="Century Gothic" w:cs="Arial"/>
          <w:color w:val="000000" w:themeColor="text1"/>
          <w:sz w:val="32"/>
          <w:szCs w:val="32"/>
        </w:rPr>
        <w:t>fulfills</w:t>
      </w:r>
      <w:proofErr w:type="spellEnd"/>
      <w:r w:rsidRPr="00F25D8D">
        <w:rPr>
          <w:rFonts w:eastAsia="Century Gothic" w:cs="Arial"/>
          <w:color w:val="000000" w:themeColor="text1"/>
          <w:sz w:val="32"/>
          <w:szCs w:val="32"/>
        </w:rPr>
        <w:t xml:space="preserve"> their own duties as well as those of the position they are acting in. Qualifications include a Master’s in Business Administration degree, a Bachelor’s degree in Business Administration and a Diploma in Public Relations Management.</w:t>
      </w:r>
    </w:p>
    <w:p w:rsidR="001F4215" w:rsidRDefault="001F4215"/>
    <w:sectPr w:rsidR="001F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E2516"/>
    <w:multiLevelType w:val="hybridMultilevel"/>
    <w:tmpl w:val="FD1CDB8C"/>
    <w:lvl w:ilvl="0" w:tplc="040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" w15:restartNumberingAfterBreak="0">
    <w:nsid w:val="6BCA0059"/>
    <w:multiLevelType w:val="hybridMultilevel"/>
    <w:tmpl w:val="48BCCB32"/>
    <w:lvl w:ilvl="0" w:tplc="FBF6995A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E1"/>
    <w:rsid w:val="000E59E1"/>
    <w:rsid w:val="001F4215"/>
    <w:rsid w:val="00D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3725C-F907-4EC2-AD54-CED6A281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0E59E1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E59E1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0E59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E59E1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2020-06-22T17:11:00Z</dcterms:created>
  <dcterms:modified xsi:type="dcterms:W3CDTF">2020-06-22T17:11:00Z</dcterms:modified>
</cp:coreProperties>
</file>