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A40C01">
        <w:rPr>
          <w:rFonts w:ascii="Arial" w:hAnsi="Arial" w:cs="Arial"/>
          <w:b/>
          <w:sz w:val="22"/>
          <w:szCs w:val="22"/>
          <w:u w:val="single"/>
        </w:rPr>
        <w:t>1183</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A40C01">
        <w:rPr>
          <w:rFonts w:ascii="Arial" w:hAnsi="Arial" w:cs="Arial"/>
          <w:b/>
          <w:sz w:val="22"/>
          <w:szCs w:val="22"/>
          <w:u w:val="single"/>
        </w:rPr>
        <w:t>22</w:t>
      </w:r>
      <w:r w:rsidR="00A93C97">
        <w:rPr>
          <w:rFonts w:ascii="Arial" w:hAnsi="Arial" w:cs="Arial"/>
          <w:b/>
          <w:sz w:val="22"/>
          <w:szCs w:val="22"/>
          <w:u w:val="single"/>
        </w:rPr>
        <w:t xml:space="preserve"> APRIL</w:t>
      </w:r>
      <w:r w:rsidR="00522DFF">
        <w:rPr>
          <w:rFonts w:ascii="Arial" w:hAnsi="Arial" w:cs="Arial"/>
          <w:b/>
          <w:sz w:val="22"/>
          <w:szCs w:val="22"/>
          <w:u w:val="single"/>
        </w:rPr>
        <w:t xml:space="preserve"> 2016</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A93C97">
        <w:rPr>
          <w:rFonts w:ascii="Arial" w:hAnsi="Arial" w:cs="Arial"/>
          <w:b/>
          <w:sz w:val="22"/>
          <w:szCs w:val="22"/>
          <w:u w:val="single"/>
        </w:rPr>
        <w:t>1</w:t>
      </w:r>
      <w:r w:rsidR="00A40C01">
        <w:rPr>
          <w:rFonts w:ascii="Arial" w:hAnsi="Arial" w:cs="Arial"/>
          <w:b/>
          <w:sz w:val="22"/>
          <w:szCs w:val="22"/>
          <w:u w:val="single"/>
        </w:rPr>
        <w:t>2</w:t>
      </w:r>
      <w:r w:rsidR="00E010BD" w:rsidRPr="0095517A">
        <w:rPr>
          <w:rFonts w:ascii="Arial" w:hAnsi="Arial" w:cs="Arial"/>
          <w:b/>
          <w:sz w:val="22"/>
          <w:szCs w:val="22"/>
          <w:u w:val="single"/>
        </w:rPr>
        <w:t>)</w:t>
      </w:r>
    </w:p>
    <w:p w:rsidR="00A40C01" w:rsidRPr="00A40C01" w:rsidRDefault="00A40C01" w:rsidP="00A40C01">
      <w:pPr>
        <w:spacing w:before="100" w:beforeAutospacing="1" w:after="100" w:afterAutospacing="1"/>
        <w:ind w:left="851" w:hanging="851"/>
        <w:jc w:val="both"/>
        <w:outlineLvl w:val="0"/>
        <w:rPr>
          <w:rFonts w:ascii="Arial" w:hAnsi="Arial" w:cs="Arial"/>
          <w:b/>
          <w:sz w:val="22"/>
          <w:szCs w:val="22"/>
          <w:lang w:val="en-GB"/>
        </w:rPr>
      </w:pPr>
      <w:r w:rsidRPr="00A40C01">
        <w:rPr>
          <w:rFonts w:ascii="Arial" w:hAnsi="Arial" w:cs="Arial"/>
          <w:b/>
          <w:sz w:val="22"/>
          <w:szCs w:val="22"/>
          <w:lang w:val="en-GB"/>
        </w:rPr>
        <w:t>1183.</w:t>
      </w:r>
      <w:r w:rsidRPr="00A40C01">
        <w:rPr>
          <w:rFonts w:ascii="Arial" w:hAnsi="Arial" w:cs="Arial"/>
          <w:b/>
          <w:sz w:val="22"/>
          <w:szCs w:val="22"/>
          <w:lang w:val="en-GB"/>
        </w:rPr>
        <w:tab/>
        <w:t xml:space="preserve">Mr H C </w:t>
      </w:r>
      <w:proofErr w:type="spellStart"/>
      <w:r w:rsidRPr="00A40C01">
        <w:rPr>
          <w:rFonts w:ascii="Arial" w:hAnsi="Arial" w:cs="Arial"/>
          <w:b/>
          <w:sz w:val="22"/>
          <w:szCs w:val="22"/>
          <w:lang w:val="en-GB"/>
        </w:rPr>
        <w:t>CKrüger</w:t>
      </w:r>
      <w:proofErr w:type="spellEnd"/>
      <w:r w:rsidRPr="00A40C01">
        <w:rPr>
          <w:rFonts w:ascii="Arial" w:hAnsi="Arial" w:cs="Arial"/>
          <w:b/>
          <w:sz w:val="22"/>
          <w:szCs w:val="22"/>
          <w:lang w:val="en-GB"/>
        </w:rPr>
        <w:t xml:space="preserve"> (DA) to ask the Minister of Water and Sanitation:</w:t>
      </w:r>
    </w:p>
    <w:p w:rsidR="00107CEB" w:rsidRPr="00836E70" w:rsidRDefault="00A40C01" w:rsidP="00836E70">
      <w:pPr>
        <w:spacing w:before="100" w:beforeAutospacing="1" w:after="100" w:afterAutospacing="1"/>
        <w:ind w:left="851"/>
        <w:jc w:val="both"/>
        <w:rPr>
          <w:rFonts w:ascii="Arial" w:hAnsi="Arial" w:cs="Arial"/>
          <w:sz w:val="22"/>
          <w:szCs w:val="22"/>
        </w:rPr>
      </w:pPr>
      <w:r w:rsidRPr="00A40C01">
        <w:rPr>
          <w:rFonts w:ascii="Arial" w:hAnsi="Arial" w:cs="Arial"/>
          <w:sz w:val="22"/>
          <w:szCs w:val="22"/>
        </w:rPr>
        <w:t>With reference to her reply to question 390 on 11 March 2016, what percentage of the total procurement of (a) her department and (b) every entity reporting to her went to small-, medium- and micro-sized enterprises (i) in the 2015-16 financial year and (ii) since 1 April 2016?</w:t>
      </w:r>
      <w:r w:rsidRPr="00A40C01">
        <w:rPr>
          <w:rFonts w:ascii="Arial" w:hAnsi="Arial" w:cs="Arial"/>
          <w:sz w:val="22"/>
          <w:szCs w:val="22"/>
        </w:rPr>
        <w:tab/>
      </w:r>
      <w:r w:rsidRPr="00A40C01">
        <w:rPr>
          <w:rFonts w:ascii="Arial" w:hAnsi="Arial" w:cs="Arial"/>
          <w:sz w:val="22"/>
          <w:szCs w:val="22"/>
        </w:rPr>
        <w:tab/>
      </w:r>
      <w:r w:rsidRPr="00A40C01">
        <w:rPr>
          <w:rFonts w:ascii="Arial" w:hAnsi="Arial" w:cs="Arial"/>
          <w:sz w:val="22"/>
          <w:szCs w:val="22"/>
        </w:rPr>
        <w:tab/>
      </w:r>
      <w:r w:rsidRPr="00A40C01">
        <w:rPr>
          <w:rFonts w:ascii="Arial" w:hAnsi="Arial" w:cs="Arial"/>
          <w:sz w:val="22"/>
          <w:szCs w:val="22"/>
        </w:rPr>
        <w:tab/>
      </w:r>
      <w:r w:rsidRPr="00A40C01">
        <w:rPr>
          <w:rFonts w:ascii="Arial" w:hAnsi="Arial" w:cs="Arial"/>
          <w:sz w:val="22"/>
          <w:szCs w:val="22"/>
        </w:rPr>
        <w:tab/>
      </w:r>
      <w:r w:rsidRPr="00A40C01">
        <w:rPr>
          <w:rFonts w:ascii="Arial" w:hAnsi="Arial" w:cs="Arial"/>
          <w:sz w:val="22"/>
          <w:szCs w:val="22"/>
        </w:rPr>
        <w:tab/>
      </w:r>
      <w:r w:rsidRPr="00A40C0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0C01">
        <w:rPr>
          <w:rFonts w:ascii="Arial" w:hAnsi="Arial" w:cs="Arial"/>
          <w:sz w:val="16"/>
          <w:szCs w:val="16"/>
        </w:rPr>
        <w:t>NW1322E</w:t>
      </w:r>
    </w:p>
    <w:p w:rsidR="00355562" w:rsidRPr="00CC596F" w:rsidRDefault="008A7DCE" w:rsidP="00107CEB">
      <w:pPr>
        <w:jc w:val="center"/>
        <w:rPr>
          <w:rFonts w:ascii="Arial" w:hAnsi="Arial" w:cs="Arial"/>
          <w:sz w:val="22"/>
          <w:szCs w:val="22"/>
        </w:rPr>
      </w:pPr>
      <w:r w:rsidRPr="00CC596F">
        <w:rPr>
          <w:rFonts w:ascii="Arial" w:hAnsi="Arial" w:cs="Arial"/>
          <w:sz w:val="22"/>
          <w:szCs w:val="22"/>
        </w:rPr>
        <w:t>---00O00---</w:t>
      </w:r>
    </w:p>
    <w:p w:rsidR="00836E70"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836E70" w:rsidRDefault="00836E70" w:rsidP="00836E70">
      <w:pPr>
        <w:pStyle w:val="ListParagraph"/>
        <w:numPr>
          <w:ilvl w:val="0"/>
          <w:numId w:val="2"/>
        </w:numPr>
        <w:tabs>
          <w:tab w:val="left" w:pos="720"/>
          <w:tab w:val="left" w:pos="1440"/>
          <w:tab w:val="left" w:pos="3180"/>
        </w:tabs>
        <w:spacing w:before="100" w:beforeAutospacing="1" w:after="100" w:afterAutospacing="1"/>
        <w:ind w:hanging="229"/>
        <w:jc w:val="both"/>
        <w:rPr>
          <w:rFonts w:ascii="Arial" w:hAnsi="Arial" w:cs="Arial"/>
          <w:sz w:val="22"/>
          <w:szCs w:val="22"/>
        </w:rPr>
      </w:pPr>
      <w:r w:rsidRPr="00075302">
        <w:rPr>
          <w:rFonts w:ascii="Arial" w:hAnsi="Arial" w:cs="Arial"/>
          <w:sz w:val="22"/>
          <w:szCs w:val="22"/>
        </w:rPr>
        <w:t xml:space="preserve">The Department </w:t>
      </w:r>
      <w:r w:rsidRPr="00075302">
        <w:rPr>
          <w:rFonts w:ascii="Arial" w:hAnsi="Arial" w:cs="Arial"/>
          <w:color w:val="000000" w:themeColor="text1"/>
          <w:kern w:val="24"/>
          <w:sz w:val="22"/>
          <w:szCs w:val="22"/>
          <w:lang w:eastAsia="en-ZA"/>
        </w:rPr>
        <w:t xml:space="preserve">procured goods and services to the value of R 2,2 billion </w:t>
      </w:r>
      <w:r>
        <w:rPr>
          <w:rFonts w:ascii="Arial" w:hAnsi="Arial" w:cs="Arial"/>
          <w:color w:val="000000" w:themeColor="text1"/>
          <w:kern w:val="24"/>
          <w:sz w:val="22"/>
          <w:szCs w:val="22"/>
          <w:lang w:eastAsia="en-ZA"/>
        </w:rPr>
        <w:tab/>
      </w:r>
      <w:r w:rsidRPr="00075302">
        <w:rPr>
          <w:rFonts w:ascii="Arial" w:hAnsi="Arial" w:cs="Arial"/>
          <w:color w:val="000000" w:themeColor="text1"/>
          <w:kern w:val="24"/>
          <w:sz w:val="22"/>
          <w:szCs w:val="22"/>
          <w:lang w:eastAsia="en-ZA"/>
        </w:rPr>
        <w:t>from</w:t>
      </w:r>
      <w:r w:rsidR="00464647">
        <w:rPr>
          <w:rFonts w:ascii="Arial" w:hAnsi="Arial" w:cs="Arial"/>
          <w:color w:val="000000" w:themeColor="text1"/>
          <w:kern w:val="24"/>
          <w:sz w:val="22"/>
          <w:szCs w:val="22"/>
          <w:lang w:eastAsia="en-ZA"/>
        </w:rPr>
        <w:t xml:space="preserve"> </w:t>
      </w:r>
      <w:r w:rsidRPr="00D335DE">
        <w:rPr>
          <w:rFonts w:ascii="Arial" w:hAnsi="Arial" w:cs="Arial"/>
          <w:sz w:val="22"/>
          <w:szCs w:val="22"/>
        </w:rPr>
        <w:t xml:space="preserve">the </w:t>
      </w:r>
      <w:r w:rsidR="00464647">
        <w:rPr>
          <w:rFonts w:ascii="Arial" w:hAnsi="Arial" w:cs="Arial"/>
          <w:sz w:val="22"/>
          <w:szCs w:val="22"/>
        </w:rPr>
        <w:tab/>
      </w:r>
      <w:r w:rsidRPr="00D335DE">
        <w:rPr>
          <w:rFonts w:ascii="Arial" w:hAnsi="Arial" w:cs="Arial"/>
          <w:sz w:val="22"/>
          <w:szCs w:val="22"/>
        </w:rPr>
        <w:t xml:space="preserve">small-, medium- and micro-sized enterprises </w:t>
      </w:r>
      <w:r>
        <w:rPr>
          <w:rFonts w:ascii="Arial" w:hAnsi="Arial" w:cs="Arial"/>
          <w:sz w:val="22"/>
          <w:szCs w:val="22"/>
        </w:rPr>
        <w:t>(</w:t>
      </w:r>
      <w:r w:rsidRPr="00075302">
        <w:rPr>
          <w:rFonts w:ascii="Arial" w:hAnsi="Arial" w:cs="Arial"/>
          <w:color w:val="000000" w:themeColor="text1"/>
          <w:kern w:val="24"/>
          <w:sz w:val="22"/>
          <w:szCs w:val="22"/>
          <w:lang w:eastAsia="en-ZA"/>
        </w:rPr>
        <w:t>SMMEs</w:t>
      </w:r>
      <w:r>
        <w:rPr>
          <w:rFonts w:ascii="Arial" w:hAnsi="Arial" w:cs="Arial"/>
          <w:color w:val="000000" w:themeColor="text1"/>
          <w:kern w:val="24"/>
          <w:sz w:val="26"/>
          <w:szCs w:val="26"/>
          <w:lang w:eastAsia="en-ZA"/>
        </w:rPr>
        <w:t>)</w:t>
      </w:r>
      <w:r w:rsidR="0028215D">
        <w:rPr>
          <w:rFonts w:ascii="Arial" w:hAnsi="Arial" w:cs="Arial"/>
          <w:color w:val="000000" w:themeColor="text1"/>
          <w:kern w:val="24"/>
          <w:sz w:val="26"/>
          <w:szCs w:val="26"/>
          <w:lang w:eastAsia="en-ZA"/>
        </w:rPr>
        <w:t xml:space="preserve"> </w:t>
      </w:r>
      <w:r>
        <w:rPr>
          <w:rFonts w:ascii="Arial" w:hAnsi="Arial" w:cs="Arial"/>
          <w:sz w:val="22"/>
          <w:szCs w:val="22"/>
        </w:rPr>
        <w:t xml:space="preserve">in </w:t>
      </w:r>
      <w:r w:rsidRPr="00D335DE">
        <w:rPr>
          <w:rFonts w:ascii="Arial" w:hAnsi="Arial" w:cs="Arial"/>
          <w:sz w:val="22"/>
          <w:szCs w:val="22"/>
        </w:rPr>
        <w:t xml:space="preserve">2015-16 financial </w:t>
      </w:r>
      <w:r>
        <w:rPr>
          <w:rFonts w:ascii="Arial" w:hAnsi="Arial" w:cs="Arial"/>
          <w:sz w:val="22"/>
          <w:szCs w:val="22"/>
        </w:rPr>
        <w:tab/>
      </w:r>
      <w:r w:rsidR="00464647">
        <w:rPr>
          <w:rFonts w:ascii="Arial" w:hAnsi="Arial" w:cs="Arial"/>
          <w:sz w:val="22"/>
          <w:szCs w:val="22"/>
        </w:rPr>
        <w:t xml:space="preserve">year </w:t>
      </w:r>
      <w:r w:rsidRPr="00D335DE">
        <w:rPr>
          <w:rFonts w:ascii="Arial" w:hAnsi="Arial" w:cs="Arial"/>
          <w:sz w:val="22"/>
          <w:szCs w:val="22"/>
        </w:rPr>
        <w:t>and up to April 2016</w:t>
      </w:r>
      <w:r>
        <w:rPr>
          <w:rFonts w:ascii="Arial" w:hAnsi="Arial" w:cs="Arial"/>
          <w:sz w:val="22"/>
          <w:szCs w:val="22"/>
        </w:rPr>
        <w:t xml:space="preserve"> as follows</w:t>
      </w:r>
      <w:r w:rsidRPr="00D335DE">
        <w:rPr>
          <w:rFonts w:ascii="Arial" w:hAnsi="Arial" w:cs="Arial"/>
          <w:sz w:val="22"/>
          <w:szCs w:val="22"/>
        </w:rPr>
        <w:t>:</w:t>
      </w:r>
    </w:p>
    <w:tbl>
      <w:tblPr>
        <w:tblStyle w:val="TableGrid"/>
        <w:tblW w:w="0" w:type="auto"/>
        <w:tblInd w:w="959" w:type="dxa"/>
        <w:tblLook w:val="04A0" w:firstRow="1" w:lastRow="0" w:firstColumn="1" w:lastColumn="0" w:noHBand="0" w:noVBand="1"/>
      </w:tblPr>
      <w:tblGrid>
        <w:gridCol w:w="992"/>
        <w:gridCol w:w="3686"/>
        <w:gridCol w:w="4110"/>
      </w:tblGrid>
      <w:tr w:rsidR="00A44775" w:rsidRPr="00836E70" w:rsidTr="00A7570E">
        <w:tc>
          <w:tcPr>
            <w:tcW w:w="992" w:type="dxa"/>
          </w:tcPr>
          <w:p w:rsidR="00A44775" w:rsidRPr="00836E70" w:rsidRDefault="00A44775" w:rsidP="00D44EAE">
            <w:pPr>
              <w:spacing w:before="100" w:beforeAutospacing="1" w:after="100" w:afterAutospacing="1"/>
              <w:jc w:val="both"/>
              <w:rPr>
                <w:rFonts w:ascii="Arial" w:hAnsi="Arial" w:cs="Arial"/>
                <w:b/>
                <w:sz w:val="22"/>
                <w:szCs w:val="22"/>
              </w:rPr>
            </w:pPr>
            <w:r w:rsidRPr="00836E70">
              <w:rPr>
                <w:rFonts w:ascii="Arial" w:hAnsi="Arial" w:cs="Arial"/>
                <w:b/>
                <w:sz w:val="22"/>
                <w:szCs w:val="22"/>
              </w:rPr>
              <w:t xml:space="preserve">No. </w:t>
            </w:r>
          </w:p>
        </w:tc>
        <w:tc>
          <w:tcPr>
            <w:tcW w:w="3686" w:type="dxa"/>
          </w:tcPr>
          <w:p w:rsidR="00A44775" w:rsidRPr="00836E70" w:rsidRDefault="00A44775" w:rsidP="00D44EAE">
            <w:pPr>
              <w:spacing w:before="100" w:beforeAutospacing="1" w:after="100" w:afterAutospacing="1"/>
              <w:rPr>
                <w:rFonts w:ascii="Arial" w:hAnsi="Arial" w:cs="Arial"/>
                <w:b/>
                <w:sz w:val="22"/>
                <w:szCs w:val="22"/>
              </w:rPr>
            </w:pPr>
            <w:r w:rsidRPr="00836E70">
              <w:rPr>
                <w:rFonts w:ascii="Arial" w:hAnsi="Arial" w:cs="Arial"/>
                <w:b/>
                <w:sz w:val="22"/>
                <w:szCs w:val="22"/>
              </w:rPr>
              <w:t>(b)(i) % SMME’s: 2015/16 Financial Year</w:t>
            </w:r>
          </w:p>
        </w:tc>
        <w:tc>
          <w:tcPr>
            <w:tcW w:w="4110" w:type="dxa"/>
          </w:tcPr>
          <w:p w:rsidR="00A44775" w:rsidRPr="00836E70" w:rsidRDefault="00A44775" w:rsidP="00D44EAE">
            <w:pPr>
              <w:spacing w:before="100" w:beforeAutospacing="1" w:after="100" w:afterAutospacing="1"/>
              <w:rPr>
                <w:rFonts w:ascii="Arial" w:hAnsi="Arial" w:cs="Arial"/>
                <w:b/>
                <w:sz w:val="22"/>
                <w:szCs w:val="22"/>
              </w:rPr>
            </w:pPr>
            <w:r>
              <w:rPr>
                <w:rFonts w:ascii="Arial" w:hAnsi="Arial" w:cs="Arial"/>
                <w:b/>
                <w:sz w:val="22"/>
                <w:szCs w:val="22"/>
              </w:rPr>
              <w:t>(</w:t>
            </w:r>
            <w:r w:rsidRPr="00836E70">
              <w:rPr>
                <w:rFonts w:ascii="Arial" w:hAnsi="Arial" w:cs="Arial"/>
                <w:b/>
                <w:sz w:val="22"/>
                <w:szCs w:val="22"/>
              </w:rPr>
              <w:t xml:space="preserve">b)(ii) % SMME’s: </w:t>
            </w:r>
            <w:r w:rsidR="00A7570E">
              <w:rPr>
                <w:rFonts w:ascii="Arial" w:hAnsi="Arial" w:cs="Arial"/>
                <w:b/>
                <w:sz w:val="22"/>
                <w:szCs w:val="22"/>
              </w:rPr>
              <w:t xml:space="preserve">From </w:t>
            </w:r>
            <w:r w:rsidRPr="00836E70">
              <w:rPr>
                <w:rFonts w:ascii="Arial" w:hAnsi="Arial" w:cs="Arial"/>
                <w:b/>
                <w:sz w:val="22"/>
                <w:szCs w:val="22"/>
              </w:rPr>
              <w:t xml:space="preserve">1 April 2016 </w:t>
            </w:r>
          </w:p>
        </w:tc>
      </w:tr>
      <w:tr w:rsidR="00A44775" w:rsidTr="00F44AA6">
        <w:trPr>
          <w:trHeight w:val="346"/>
        </w:trPr>
        <w:tc>
          <w:tcPr>
            <w:tcW w:w="992" w:type="dxa"/>
          </w:tcPr>
          <w:p w:rsidR="00A44775" w:rsidRDefault="00A44775" w:rsidP="00464B4E">
            <w:pPr>
              <w:spacing w:before="100" w:beforeAutospacing="1" w:after="100" w:afterAutospacing="1"/>
              <w:jc w:val="both"/>
              <w:rPr>
                <w:rFonts w:ascii="Arial" w:hAnsi="Arial" w:cs="Arial"/>
                <w:sz w:val="22"/>
                <w:szCs w:val="22"/>
              </w:rPr>
            </w:pPr>
            <w:r>
              <w:rPr>
                <w:rFonts w:ascii="Arial" w:hAnsi="Arial" w:cs="Arial"/>
                <w:sz w:val="22"/>
                <w:szCs w:val="22"/>
              </w:rPr>
              <w:t>1.</w:t>
            </w:r>
          </w:p>
        </w:tc>
        <w:tc>
          <w:tcPr>
            <w:tcW w:w="3686" w:type="dxa"/>
          </w:tcPr>
          <w:p w:rsidR="00A44775" w:rsidRPr="00836E70" w:rsidRDefault="00A44775" w:rsidP="00464B4E">
            <w:pPr>
              <w:tabs>
                <w:tab w:val="left" w:pos="720"/>
                <w:tab w:val="left" w:pos="1440"/>
                <w:tab w:val="left" w:pos="3180"/>
              </w:tabs>
              <w:spacing w:before="100" w:beforeAutospacing="1" w:after="100" w:afterAutospacing="1"/>
              <w:jc w:val="both"/>
              <w:rPr>
                <w:rFonts w:ascii="Arial" w:eastAsiaTheme="minorEastAsia" w:hAnsi="Arial" w:cs="Arial"/>
                <w:color w:val="000000" w:themeColor="text1"/>
                <w:kern w:val="24"/>
                <w:sz w:val="22"/>
                <w:szCs w:val="22"/>
                <w:lang w:eastAsia="en-ZA"/>
              </w:rPr>
            </w:pPr>
            <w:r>
              <w:rPr>
                <w:rFonts w:ascii="Arial" w:eastAsiaTheme="minorEastAsia" w:hAnsi="Arial" w:cs="Arial"/>
                <w:color w:val="000000" w:themeColor="text1"/>
                <w:kern w:val="24"/>
                <w:sz w:val="22"/>
                <w:szCs w:val="22"/>
                <w:lang w:eastAsia="en-ZA"/>
              </w:rPr>
              <w:t>50,03%</w:t>
            </w:r>
            <w:r w:rsidRPr="00836E70">
              <w:rPr>
                <w:rFonts w:ascii="Arial" w:eastAsiaTheme="minorEastAsia" w:hAnsi="Arial" w:cs="Arial"/>
                <w:color w:val="000000" w:themeColor="text1"/>
                <w:kern w:val="24"/>
                <w:sz w:val="22"/>
                <w:szCs w:val="22"/>
                <w:lang w:eastAsia="en-ZA"/>
              </w:rPr>
              <w:t xml:space="preserve"> </w:t>
            </w:r>
          </w:p>
        </w:tc>
        <w:tc>
          <w:tcPr>
            <w:tcW w:w="4110" w:type="dxa"/>
          </w:tcPr>
          <w:p w:rsidR="00A44775" w:rsidRPr="0065730C" w:rsidRDefault="00A44775" w:rsidP="00D44EAE">
            <w:pPr>
              <w:spacing w:before="100" w:beforeAutospacing="1" w:after="100" w:afterAutospacing="1"/>
              <w:jc w:val="both"/>
              <w:rPr>
                <w:rFonts w:ascii="Arial" w:hAnsi="Arial" w:cs="Arial"/>
                <w:sz w:val="22"/>
                <w:szCs w:val="22"/>
              </w:rPr>
            </w:pPr>
            <w:r>
              <w:rPr>
                <w:rFonts w:ascii="Arial" w:hAnsi="Arial" w:cs="Arial"/>
                <w:sz w:val="22"/>
                <w:szCs w:val="22"/>
              </w:rPr>
              <w:t>1%</w:t>
            </w:r>
          </w:p>
        </w:tc>
      </w:tr>
    </w:tbl>
    <w:p w:rsidR="00FE45A4" w:rsidRPr="00836E70" w:rsidRDefault="00836E70" w:rsidP="00836E70">
      <w:pPr>
        <w:pStyle w:val="ListParagraph"/>
        <w:tabs>
          <w:tab w:val="left" w:pos="720"/>
          <w:tab w:val="left" w:pos="1440"/>
          <w:tab w:val="left" w:pos="3180"/>
        </w:tabs>
        <w:spacing w:before="100" w:beforeAutospacing="1" w:after="100" w:afterAutospacing="1"/>
        <w:ind w:left="851"/>
        <w:jc w:val="both"/>
        <w:rPr>
          <w:rFonts w:ascii="Arial" w:hAnsi="Arial" w:cs="Arial"/>
          <w:sz w:val="22"/>
          <w:szCs w:val="22"/>
        </w:rPr>
      </w:pPr>
      <w:r w:rsidRPr="00836E70">
        <w:rPr>
          <w:rFonts w:ascii="Arial" w:hAnsi="Arial" w:cs="Arial"/>
          <w:bCs/>
          <w:sz w:val="22"/>
          <w:szCs w:val="22"/>
        </w:rPr>
        <w:t>(b)</w:t>
      </w:r>
      <w:r w:rsidRPr="00836E70">
        <w:rPr>
          <w:rFonts w:ascii="Arial" w:hAnsi="Arial" w:cs="Arial"/>
          <w:bCs/>
          <w:sz w:val="22"/>
          <w:szCs w:val="22"/>
        </w:rPr>
        <w:tab/>
      </w:r>
      <w:r w:rsidRPr="00075302">
        <w:rPr>
          <w:rFonts w:ascii="Arial" w:hAnsi="Arial" w:cs="Arial"/>
          <w:sz w:val="22"/>
          <w:szCs w:val="22"/>
        </w:rPr>
        <w:t xml:space="preserve">The </w:t>
      </w:r>
      <w:r>
        <w:rPr>
          <w:rFonts w:ascii="Arial" w:hAnsi="Arial" w:cs="Arial"/>
          <w:sz w:val="22"/>
          <w:szCs w:val="22"/>
        </w:rPr>
        <w:t>Entities</w:t>
      </w:r>
      <w:r w:rsidR="00A44775">
        <w:rPr>
          <w:rFonts w:ascii="Arial" w:hAnsi="Arial" w:cs="Arial"/>
          <w:sz w:val="22"/>
          <w:szCs w:val="22"/>
        </w:rPr>
        <w:t xml:space="preserve"> </w:t>
      </w:r>
      <w:r w:rsidRPr="00075302">
        <w:rPr>
          <w:rFonts w:ascii="Arial" w:hAnsi="Arial" w:cs="Arial"/>
          <w:color w:val="000000" w:themeColor="text1"/>
          <w:kern w:val="24"/>
          <w:sz w:val="22"/>
          <w:szCs w:val="22"/>
          <w:lang w:eastAsia="en-ZA"/>
        </w:rPr>
        <w:t>procured goods and services</w:t>
      </w:r>
      <w:r w:rsidR="00A44775">
        <w:rPr>
          <w:rFonts w:ascii="Arial" w:hAnsi="Arial" w:cs="Arial"/>
          <w:color w:val="000000" w:themeColor="text1"/>
          <w:kern w:val="24"/>
          <w:sz w:val="22"/>
          <w:szCs w:val="22"/>
          <w:lang w:eastAsia="en-ZA"/>
        </w:rPr>
        <w:t xml:space="preserve"> </w:t>
      </w:r>
      <w:r w:rsidRPr="00075302">
        <w:rPr>
          <w:rFonts w:ascii="Arial" w:hAnsi="Arial" w:cs="Arial"/>
          <w:color w:val="000000" w:themeColor="text1"/>
          <w:kern w:val="24"/>
          <w:sz w:val="22"/>
          <w:szCs w:val="22"/>
          <w:lang w:eastAsia="en-ZA"/>
        </w:rPr>
        <w:t>from</w:t>
      </w:r>
      <w:r w:rsidR="00A44775">
        <w:rPr>
          <w:rFonts w:ascii="Arial" w:hAnsi="Arial" w:cs="Arial"/>
          <w:color w:val="000000" w:themeColor="text1"/>
          <w:kern w:val="24"/>
          <w:sz w:val="22"/>
          <w:szCs w:val="22"/>
          <w:lang w:eastAsia="en-ZA"/>
        </w:rPr>
        <w:t xml:space="preserve"> </w:t>
      </w:r>
      <w:r w:rsidRPr="00D335DE">
        <w:rPr>
          <w:rFonts w:ascii="Arial" w:hAnsi="Arial" w:cs="Arial"/>
          <w:sz w:val="22"/>
          <w:szCs w:val="22"/>
        </w:rPr>
        <w:t xml:space="preserve">the small-, medium- and micro-sized </w:t>
      </w:r>
      <w:r>
        <w:rPr>
          <w:rFonts w:ascii="Arial" w:hAnsi="Arial" w:cs="Arial"/>
          <w:sz w:val="22"/>
          <w:szCs w:val="22"/>
        </w:rPr>
        <w:tab/>
      </w:r>
      <w:r w:rsidRPr="00D335DE">
        <w:rPr>
          <w:rFonts w:ascii="Arial" w:hAnsi="Arial" w:cs="Arial"/>
          <w:sz w:val="22"/>
          <w:szCs w:val="22"/>
        </w:rPr>
        <w:t xml:space="preserve">enterprises </w:t>
      </w:r>
      <w:r>
        <w:rPr>
          <w:rFonts w:ascii="Arial" w:hAnsi="Arial" w:cs="Arial"/>
          <w:sz w:val="22"/>
          <w:szCs w:val="22"/>
        </w:rPr>
        <w:t>(</w:t>
      </w:r>
      <w:r w:rsidRPr="00075302">
        <w:rPr>
          <w:rFonts w:ascii="Arial" w:hAnsi="Arial" w:cs="Arial"/>
          <w:color w:val="000000" w:themeColor="text1"/>
          <w:kern w:val="24"/>
          <w:sz w:val="22"/>
          <w:szCs w:val="22"/>
          <w:lang w:eastAsia="en-ZA"/>
        </w:rPr>
        <w:t>SMMEs</w:t>
      </w:r>
      <w:r>
        <w:rPr>
          <w:rFonts w:ascii="Arial" w:hAnsi="Arial" w:cs="Arial"/>
          <w:color w:val="000000" w:themeColor="text1"/>
          <w:kern w:val="24"/>
          <w:sz w:val="26"/>
          <w:szCs w:val="26"/>
          <w:lang w:eastAsia="en-ZA"/>
        </w:rPr>
        <w:t>)</w:t>
      </w:r>
      <w:r w:rsidR="00A44775">
        <w:rPr>
          <w:rFonts w:ascii="Arial" w:hAnsi="Arial" w:cs="Arial"/>
          <w:color w:val="000000" w:themeColor="text1"/>
          <w:kern w:val="24"/>
          <w:sz w:val="26"/>
          <w:szCs w:val="26"/>
          <w:lang w:eastAsia="en-ZA"/>
        </w:rPr>
        <w:t xml:space="preserve"> </w:t>
      </w:r>
      <w:r>
        <w:rPr>
          <w:rFonts w:ascii="Arial" w:hAnsi="Arial" w:cs="Arial"/>
          <w:sz w:val="22"/>
          <w:szCs w:val="22"/>
        </w:rPr>
        <w:t xml:space="preserve">in </w:t>
      </w:r>
      <w:r w:rsidRPr="00D335DE">
        <w:rPr>
          <w:rFonts w:ascii="Arial" w:hAnsi="Arial" w:cs="Arial"/>
          <w:sz w:val="22"/>
          <w:szCs w:val="22"/>
        </w:rPr>
        <w:t>2015-16 financial year and up to April 2016</w:t>
      </w:r>
      <w:r>
        <w:rPr>
          <w:rFonts w:ascii="Arial" w:hAnsi="Arial" w:cs="Arial"/>
          <w:sz w:val="22"/>
          <w:szCs w:val="22"/>
        </w:rPr>
        <w:t xml:space="preserve"> as follows:</w:t>
      </w:r>
    </w:p>
    <w:tbl>
      <w:tblPr>
        <w:tblStyle w:val="TableGrid"/>
        <w:tblW w:w="9072" w:type="dxa"/>
        <w:tblInd w:w="959" w:type="dxa"/>
        <w:tblLook w:val="04A0" w:firstRow="1" w:lastRow="0" w:firstColumn="1" w:lastColumn="0" w:noHBand="0" w:noVBand="1"/>
      </w:tblPr>
      <w:tblGrid>
        <w:gridCol w:w="571"/>
        <w:gridCol w:w="3540"/>
        <w:gridCol w:w="2835"/>
        <w:gridCol w:w="2126"/>
      </w:tblGrid>
      <w:tr w:rsidR="00894D43" w:rsidRPr="00836E70" w:rsidTr="008A05C8">
        <w:tc>
          <w:tcPr>
            <w:tcW w:w="571" w:type="dxa"/>
          </w:tcPr>
          <w:p w:rsidR="00894D43" w:rsidRPr="00836E70" w:rsidRDefault="00894D43" w:rsidP="004D1B6B">
            <w:pPr>
              <w:spacing w:before="100" w:beforeAutospacing="1" w:after="100" w:afterAutospacing="1"/>
              <w:jc w:val="both"/>
              <w:rPr>
                <w:rFonts w:ascii="Arial" w:hAnsi="Arial" w:cs="Arial"/>
                <w:b/>
                <w:sz w:val="22"/>
                <w:szCs w:val="22"/>
              </w:rPr>
            </w:pPr>
            <w:r w:rsidRPr="00836E70">
              <w:rPr>
                <w:rFonts w:ascii="Arial" w:hAnsi="Arial" w:cs="Arial"/>
                <w:b/>
                <w:sz w:val="22"/>
                <w:szCs w:val="22"/>
              </w:rPr>
              <w:t xml:space="preserve">No. </w:t>
            </w:r>
          </w:p>
        </w:tc>
        <w:tc>
          <w:tcPr>
            <w:tcW w:w="3540" w:type="dxa"/>
          </w:tcPr>
          <w:p w:rsidR="00894D43" w:rsidRPr="00836E70" w:rsidRDefault="00894D43" w:rsidP="004D1B6B">
            <w:pPr>
              <w:spacing w:before="100" w:beforeAutospacing="1" w:after="100" w:afterAutospacing="1"/>
              <w:jc w:val="both"/>
              <w:rPr>
                <w:rFonts w:ascii="Arial" w:hAnsi="Arial" w:cs="Arial"/>
                <w:b/>
                <w:sz w:val="22"/>
                <w:szCs w:val="22"/>
              </w:rPr>
            </w:pPr>
            <w:r w:rsidRPr="00836E70">
              <w:rPr>
                <w:rFonts w:ascii="Arial" w:hAnsi="Arial" w:cs="Arial"/>
                <w:b/>
                <w:sz w:val="22"/>
                <w:szCs w:val="22"/>
              </w:rPr>
              <w:t>Entity</w:t>
            </w:r>
          </w:p>
        </w:tc>
        <w:tc>
          <w:tcPr>
            <w:tcW w:w="2835" w:type="dxa"/>
          </w:tcPr>
          <w:p w:rsidR="00894D43" w:rsidRPr="00836E70" w:rsidRDefault="00894D43" w:rsidP="00894D43">
            <w:pPr>
              <w:spacing w:before="100" w:beforeAutospacing="1" w:after="100" w:afterAutospacing="1"/>
              <w:rPr>
                <w:rFonts w:ascii="Arial" w:hAnsi="Arial" w:cs="Arial"/>
                <w:b/>
                <w:sz w:val="22"/>
                <w:szCs w:val="22"/>
              </w:rPr>
            </w:pPr>
            <w:r w:rsidRPr="00836E70">
              <w:rPr>
                <w:rFonts w:ascii="Arial" w:hAnsi="Arial" w:cs="Arial"/>
                <w:b/>
                <w:sz w:val="22"/>
                <w:szCs w:val="22"/>
              </w:rPr>
              <w:t>(b)(i) % SMME’s: 2015/16 Financial Year</w:t>
            </w:r>
          </w:p>
        </w:tc>
        <w:tc>
          <w:tcPr>
            <w:tcW w:w="2126" w:type="dxa"/>
          </w:tcPr>
          <w:p w:rsidR="00894D43" w:rsidRPr="00836E70" w:rsidRDefault="00836E70" w:rsidP="00337003">
            <w:pPr>
              <w:spacing w:before="100" w:beforeAutospacing="1" w:after="100" w:afterAutospacing="1"/>
              <w:rPr>
                <w:rFonts w:ascii="Arial" w:hAnsi="Arial" w:cs="Arial"/>
                <w:b/>
                <w:sz w:val="22"/>
                <w:szCs w:val="22"/>
              </w:rPr>
            </w:pPr>
            <w:r>
              <w:rPr>
                <w:rFonts w:ascii="Arial" w:hAnsi="Arial" w:cs="Arial"/>
                <w:b/>
                <w:sz w:val="22"/>
                <w:szCs w:val="22"/>
              </w:rPr>
              <w:t>(</w:t>
            </w:r>
            <w:r w:rsidR="00894D43" w:rsidRPr="00836E70">
              <w:rPr>
                <w:rFonts w:ascii="Arial" w:hAnsi="Arial" w:cs="Arial"/>
                <w:b/>
                <w:sz w:val="22"/>
                <w:szCs w:val="22"/>
              </w:rPr>
              <w:t xml:space="preserve">b)(ii) % SMME’s: 1 April 2016 </w:t>
            </w:r>
          </w:p>
        </w:tc>
      </w:tr>
      <w:tr w:rsidR="00894D43" w:rsidTr="008A05C8">
        <w:trPr>
          <w:trHeight w:val="57"/>
        </w:trPr>
        <w:tc>
          <w:tcPr>
            <w:tcW w:w="571" w:type="dxa"/>
          </w:tcPr>
          <w:p w:rsidR="00894D43"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1.</w:t>
            </w:r>
          </w:p>
        </w:tc>
        <w:tc>
          <w:tcPr>
            <w:tcW w:w="3540" w:type="dxa"/>
          </w:tcPr>
          <w:p w:rsidR="00894D43" w:rsidRDefault="00A40502" w:rsidP="004D1B6B">
            <w:pPr>
              <w:spacing w:before="100" w:beforeAutospacing="1" w:after="100" w:afterAutospacing="1"/>
              <w:jc w:val="both"/>
              <w:rPr>
                <w:rFonts w:ascii="Arial" w:hAnsi="Arial" w:cs="Arial"/>
                <w:sz w:val="22"/>
                <w:szCs w:val="22"/>
              </w:rPr>
            </w:pPr>
            <w:proofErr w:type="spellStart"/>
            <w:r>
              <w:rPr>
                <w:rFonts w:ascii="Arial" w:hAnsi="Arial" w:cs="Arial"/>
                <w:bCs/>
                <w:sz w:val="22"/>
                <w:szCs w:val="22"/>
              </w:rPr>
              <w:t>Amatola</w:t>
            </w:r>
            <w:proofErr w:type="spellEnd"/>
            <w:r>
              <w:rPr>
                <w:rFonts w:ascii="Arial" w:hAnsi="Arial" w:cs="Arial"/>
                <w:bCs/>
                <w:sz w:val="22"/>
                <w:szCs w:val="22"/>
              </w:rPr>
              <w:t xml:space="preserve"> Water Board</w:t>
            </w:r>
          </w:p>
        </w:tc>
        <w:tc>
          <w:tcPr>
            <w:tcW w:w="2835" w:type="dxa"/>
          </w:tcPr>
          <w:p w:rsidR="00894D43" w:rsidRPr="0065730C" w:rsidRDefault="00775511"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99.7%</w:t>
            </w:r>
          </w:p>
        </w:tc>
        <w:tc>
          <w:tcPr>
            <w:tcW w:w="2126" w:type="dxa"/>
          </w:tcPr>
          <w:p w:rsidR="00894D43" w:rsidRPr="0065730C" w:rsidRDefault="00775511"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92.1 %</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2.</w:t>
            </w:r>
          </w:p>
        </w:tc>
        <w:tc>
          <w:tcPr>
            <w:tcW w:w="3540" w:type="dxa"/>
          </w:tcPr>
          <w:p w:rsidR="00A40502" w:rsidRDefault="00A40502" w:rsidP="004D1B6B">
            <w:pPr>
              <w:spacing w:before="100" w:beforeAutospacing="1" w:after="100" w:afterAutospacing="1"/>
              <w:jc w:val="both"/>
              <w:rPr>
                <w:rFonts w:ascii="Arial" w:hAnsi="Arial" w:cs="Arial"/>
                <w:bCs/>
                <w:sz w:val="22"/>
                <w:szCs w:val="22"/>
              </w:rPr>
            </w:pPr>
            <w:proofErr w:type="spellStart"/>
            <w:r>
              <w:rPr>
                <w:rFonts w:ascii="Arial" w:hAnsi="Arial" w:cs="Arial"/>
                <w:bCs/>
                <w:sz w:val="22"/>
                <w:szCs w:val="22"/>
              </w:rPr>
              <w:t>Bloem</w:t>
            </w:r>
            <w:proofErr w:type="spellEnd"/>
            <w:r>
              <w:rPr>
                <w:rFonts w:ascii="Arial" w:hAnsi="Arial" w:cs="Arial"/>
                <w:bCs/>
                <w:sz w:val="22"/>
                <w:szCs w:val="22"/>
              </w:rPr>
              <w:t xml:space="preserve"> Water Board</w:t>
            </w:r>
          </w:p>
        </w:tc>
        <w:tc>
          <w:tcPr>
            <w:tcW w:w="2835" w:type="dxa"/>
          </w:tcPr>
          <w:p w:rsidR="00A40502" w:rsidRPr="0065730C" w:rsidRDefault="002E32E6" w:rsidP="002E32E6">
            <w:pPr>
              <w:jc w:val="both"/>
              <w:rPr>
                <w:rFonts w:ascii="Arial" w:hAnsi="Arial" w:cs="Arial"/>
                <w:sz w:val="22"/>
                <w:szCs w:val="22"/>
              </w:rPr>
            </w:pPr>
            <w:r w:rsidRPr="0065730C">
              <w:rPr>
                <w:rFonts w:ascii="Arial" w:hAnsi="Arial" w:cs="Arial"/>
                <w:sz w:val="22"/>
                <w:szCs w:val="22"/>
              </w:rPr>
              <w:t>37%</w:t>
            </w:r>
          </w:p>
        </w:tc>
        <w:tc>
          <w:tcPr>
            <w:tcW w:w="2126" w:type="dxa"/>
          </w:tcPr>
          <w:p w:rsidR="00A40502" w:rsidRPr="0065730C" w:rsidRDefault="002E32E6"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35%</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3.</w:t>
            </w:r>
          </w:p>
        </w:tc>
        <w:tc>
          <w:tcPr>
            <w:tcW w:w="3540" w:type="dxa"/>
          </w:tcPr>
          <w:p w:rsidR="00A40502" w:rsidRDefault="00A40502" w:rsidP="004D1B6B">
            <w:pPr>
              <w:spacing w:before="100" w:beforeAutospacing="1" w:after="100" w:afterAutospacing="1"/>
              <w:jc w:val="both"/>
              <w:rPr>
                <w:rFonts w:ascii="Arial" w:hAnsi="Arial" w:cs="Arial"/>
                <w:bCs/>
                <w:sz w:val="22"/>
                <w:szCs w:val="22"/>
              </w:rPr>
            </w:pPr>
            <w:proofErr w:type="spellStart"/>
            <w:r>
              <w:rPr>
                <w:rFonts w:ascii="Arial" w:hAnsi="Arial" w:cs="Arial"/>
                <w:bCs/>
                <w:sz w:val="22"/>
                <w:szCs w:val="22"/>
              </w:rPr>
              <w:t>Lepelle</w:t>
            </w:r>
            <w:proofErr w:type="spellEnd"/>
            <w:r>
              <w:rPr>
                <w:rFonts w:ascii="Arial" w:hAnsi="Arial" w:cs="Arial"/>
                <w:bCs/>
                <w:sz w:val="22"/>
                <w:szCs w:val="22"/>
              </w:rPr>
              <w:t xml:space="preserve"> Water Board</w:t>
            </w:r>
          </w:p>
        </w:tc>
        <w:tc>
          <w:tcPr>
            <w:tcW w:w="2835" w:type="dxa"/>
          </w:tcPr>
          <w:p w:rsidR="00A40502" w:rsidRPr="0065730C" w:rsidRDefault="00FC625C"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72.10%</w:t>
            </w:r>
          </w:p>
        </w:tc>
        <w:tc>
          <w:tcPr>
            <w:tcW w:w="2126" w:type="dxa"/>
          </w:tcPr>
          <w:p w:rsidR="00A40502" w:rsidRPr="0065730C" w:rsidRDefault="00FC625C"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Not yet available</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4.</w:t>
            </w:r>
          </w:p>
        </w:tc>
        <w:tc>
          <w:tcPr>
            <w:tcW w:w="3540" w:type="dxa"/>
          </w:tcPr>
          <w:p w:rsidR="00A40502" w:rsidRDefault="00A40502" w:rsidP="004D1B6B">
            <w:pPr>
              <w:spacing w:before="100" w:beforeAutospacing="1" w:after="100" w:afterAutospacing="1"/>
              <w:jc w:val="both"/>
              <w:rPr>
                <w:rFonts w:ascii="Arial" w:hAnsi="Arial" w:cs="Arial"/>
                <w:bCs/>
                <w:sz w:val="22"/>
                <w:szCs w:val="22"/>
              </w:rPr>
            </w:pPr>
            <w:proofErr w:type="spellStart"/>
            <w:r>
              <w:rPr>
                <w:rFonts w:ascii="Arial" w:hAnsi="Arial" w:cs="Arial"/>
                <w:bCs/>
                <w:sz w:val="22"/>
                <w:szCs w:val="22"/>
              </w:rPr>
              <w:t>Magalies</w:t>
            </w:r>
            <w:proofErr w:type="spellEnd"/>
            <w:r>
              <w:rPr>
                <w:rFonts w:ascii="Arial" w:hAnsi="Arial" w:cs="Arial"/>
                <w:bCs/>
                <w:sz w:val="22"/>
                <w:szCs w:val="22"/>
              </w:rPr>
              <w:t xml:space="preserve"> Water Board</w:t>
            </w:r>
          </w:p>
        </w:tc>
        <w:tc>
          <w:tcPr>
            <w:tcW w:w="2835" w:type="dxa"/>
          </w:tcPr>
          <w:p w:rsidR="00A40502" w:rsidRPr="0065730C" w:rsidRDefault="00BC7AEC"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22.27%</w:t>
            </w:r>
          </w:p>
        </w:tc>
        <w:tc>
          <w:tcPr>
            <w:tcW w:w="2126" w:type="dxa"/>
          </w:tcPr>
          <w:p w:rsidR="00A40502" w:rsidRPr="0065730C" w:rsidRDefault="00BC7AEC"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22.27%</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5.</w:t>
            </w:r>
          </w:p>
        </w:tc>
        <w:tc>
          <w:tcPr>
            <w:tcW w:w="3540" w:type="dxa"/>
          </w:tcPr>
          <w:p w:rsidR="00A40502" w:rsidRDefault="00A40502" w:rsidP="004D1B6B">
            <w:pPr>
              <w:spacing w:before="100" w:beforeAutospacing="1" w:after="100" w:afterAutospacing="1"/>
              <w:jc w:val="both"/>
              <w:rPr>
                <w:rFonts w:ascii="Arial" w:hAnsi="Arial" w:cs="Arial"/>
                <w:bCs/>
                <w:sz w:val="22"/>
                <w:szCs w:val="22"/>
              </w:rPr>
            </w:pPr>
            <w:proofErr w:type="spellStart"/>
            <w:r>
              <w:rPr>
                <w:rFonts w:ascii="Arial" w:hAnsi="Arial" w:cs="Arial"/>
                <w:bCs/>
                <w:sz w:val="22"/>
                <w:szCs w:val="22"/>
              </w:rPr>
              <w:t>Mhlathuze</w:t>
            </w:r>
            <w:proofErr w:type="spellEnd"/>
            <w:r>
              <w:rPr>
                <w:rFonts w:ascii="Arial" w:hAnsi="Arial" w:cs="Arial"/>
                <w:bCs/>
                <w:sz w:val="22"/>
                <w:szCs w:val="22"/>
              </w:rPr>
              <w:t xml:space="preserve"> Water Board</w:t>
            </w:r>
          </w:p>
        </w:tc>
        <w:tc>
          <w:tcPr>
            <w:tcW w:w="2835" w:type="dxa"/>
          </w:tcPr>
          <w:p w:rsidR="00A40502" w:rsidRPr="0065730C" w:rsidRDefault="00F40808"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66.91%</w:t>
            </w:r>
          </w:p>
        </w:tc>
        <w:tc>
          <w:tcPr>
            <w:tcW w:w="2126" w:type="dxa"/>
          </w:tcPr>
          <w:p w:rsidR="00A40502" w:rsidRPr="0065730C" w:rsidRDefault="00F40808"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72.86%</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6.</w:t>
            </w:r>
          </w:p>
        </w:tc>
        <w:tc>
          <w:tcPr>
            <w:tcW w:w="3540" w:type="dxa"/>
          </w:tcPr>
          <w:p w:rsidR="00A40502" w:rsidRDefault="00A40502" w:rsidP="004D1B6B">
            <w:pPr>
              <w:spacing w:before="100" w:beforeAutospacing="1" w:after="100" w:afterAutospacing="1"/>
              <w:jc w:val="both"/>
              <w:rPr>
                <w:rFonts w:ascii="Arial" w:hAnsi="Arial" w:cs="Arial"/>
                <w:bCs/>
                <w:sz w:val="22"/>
                <w:szCs w:val="22"/>
              </w:rPr>
            </w:pPr>
            <w:r>
              <w:rPr>
                <w:rFonts w:ascii="Arial" w:hAnsi="Arial" w:cs="Arial"/>
                <w:bCs/>
                <w:sz w:val="22"/>
                <w:szCs w:val="22"/>
              </w:rPr>
              <w:t>Overberg Water Board</w:t>
            </w:r>
          </w:p>
        </w:tc>
        <w:tc>
          <w:tcPr>
            <w:tcW w:w="2835" w:type="dxa"/>
          </w:tcPr>
          <w:p w:rsidR="00A40502" w:rsidRPr="0065730C" w:rsidRDefault="0065730C"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13.7%</w:t>
            </w:r>
          </w:p>
        </w:tc>
        <w:tc>
          <w:tcPr>
            <w:tcW w:w="2126" w:type="dxa"/>
          </w:tcPr>
          <w:p w:rsidR="00A40502" w:rsidRPr="0065730C" w:rsidRDefault="0065730C"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Not yet available</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7.</w:t>
            </w:r>
          </w:p>
        </w:tc>
        <w:tc>
          <w:tcPr>
            <w:tcW w:w="3540" w:type="dxa"/>
          </w:tcPr>
          <w:p w:rsidR="00A40502" w:rsidRDefault="00A40502" w:rsidP="004D1B6B">
            <w:pPr>
              <w:spacing w:before="100" w:beforeAutospacing="1" w:after="100" w:afterAutospacing="1"/>
              <w:jc w:val="both"/>
              <w:rPr>
                <w:rFonts w:ascii="Arial" w:hAnsi="Arial" w:cs="Arial"/>
                <w:bCs/>
                <w:sz w:val="22"/>
                <w:szCs w:val="22"/>
              </w:rPr>
            </w:pPr>
            <w:r>
              <w:rPr>
                <w:rFonts w:ascii="Arial" w:hAnsi="Arial" w:cs="Arial"/>
                <w:bCs/>
                <w:sz w:val="22"/>
                <w:szCs w:val="22"/>
              </w:rPr>
              <w:t>Rand Water Board</w:t>
            </w:r>
          </w:p>
        </w:tc>
        <w:tc>
          <w:tcPr>
            <w:tcW w:w="2835" w:type="dxa"/>
          </w:tcPr>
          <w:p w:rsidR="00A40502" w:rsidRPr="0065730C" w:rsidRDefault="00B02423"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38%</w:t>
            </w:r>
          </w:p>
        </w:tc>
        <w:tc>
          <w:tcPr>
            <w:tcW w:w="2126" w:type="dxa"/>
          </w:tcPr>
          <w:p w:rsidR="00A40502" w:rsidRPr="0065730C" w:rsidRDefault="00B02423"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3.05%</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8.</w:t>
            </w:r>
          </w:p>
        </w:tc>
        <w:tc>
          <w:tcPr>
            <w:tcW w:w="3540" w:type="dxa"/>
          </w:tcPr>
          <w:p w:rsidR="00A40502" w:rsidRDefault="00A40502" w:rsidP="004D1B6B">
            <w:pPr>
              <w:spacing w:before="100" w:beforeAutospacing="1" w:after="100" w:afterAutospacing="1"/>
              <w:jc w:val="both"/>
              <w:rPr>
                <w:rFonts w:ascii="Arial" w:hAnsi="Arial" w:cs="Arial"/>
                <w:bCs/>
                <w:sz w:val="22"/>
                <w:szCs w:val="22"/>
              </w:rPr>
            </w:pPr>
            <w:r>
              <w:rPr>
                <w:rFonts w:ascii="Arial" w:hAnsi="Arial" w:cs="Arial"/>
                <w:bCs/>
                <w:sz w:val="22"/>
                <w:szCs w:val="22"/>
              </w:rPr>
              <w:t>Sedibeng Water Board</w:t>
            </w:r>
          </w:p>
        </w:tc>
        <w:tc>
          <w:tcPr>
            <w:tcW w:w="2835" w:type="dxa"/>
          </w:tcPr>
          <w:p w:rsidR="00A40502" w:rsidRPr="0065730C" w:rsidRDefault="002E5DF9"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97%</w:t>
            </w:r>
          </w:p>
        </w:tc>
        <w:tc>
          <w:tcPr>
            <w:tcW w:w="2126" w:type="dxa"/>
          </w:tcPr>
          <w:p w:rsidR="00A40502" w:rsidRPr="0065730C" w:rsidRDefault="002E5DF9"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35%</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9.</w:t>
            </w:r>
          </w:p>
        </w:tc>
        <w:tc>
          <w:tcPr>
            <w:tcW w:w="3540" w:type="dxa"/>
          </w:tcPr>
          <w:p w:rsidR="00A40502" w:rsidRDefault="00A40502" w:rsidP="004D1B6B">
            <w:pPr>
              <w:spacing w:before="100" w:beforeAutospacing="1" w:after="100" w:afterAutospacing="1"/>
              <w:jc w:val="both"/>
              <w:rPr>
                <w:rFonts w:ascii="Arial" w:hAnsi="Arial" w:cs="Arial"/>
                <w:bCs/>
                <w:sz w:val="22"/>
                <w:szCs w:val="22"/>
              </w:rPr>
            </w:pPr>
            <w:r>
              <w:rPr>
                <w:rFonts w:ascii="Arial" w:hAnsi="Arial" w:cs="Arial"/>
                <w:bCs/>
                <w:sz w:val="22"/>
                <w:szCs w:val="22"/>
              </w:rPr>
              <w:t>Umgeni Water Board</w:t>
            </w:r>
          </w:p>
        </w:tc>
        <w:tc>
          <w:tcPr>
            <w:tcW w:w="2835" w:type="dxa"/>
          </w:tcPr>
          <w:p w:rsidR="00A40502" w:rsidRPr="0065730C" w:rsidRDefault="000351E6" w:rsidP="004D1B6B">
            <w:pPr>
              <w:spacing w:before="100" w:beforeAutospacing="1" w:after="100" w:afterAutospacing="1"/>
              <w:jc w:val="both"/>
              <w:rPr>
                <w:rFonts w:ascii="Arial" w:hAnsi="Arial" w:cs="Arial"/>
                <w:sz w:val="22"/>
                <w:szCs w:val="22"/>
              </w:rPr>
            </w:pPr>
            <w:r w:rsidRPr="0065730C">
              <w:rPr>
                <w:rFonts w:ascii="Arial" w:hAnsi="Arial" w:cs="Arial"/>
                <w:sz w:val="22"/>
                <w:szCs w:val="22"/>
                <w:lang w:eastAsia="en-ZA"/>
              </w:rPr>
              <w:t>17.79%</w:t>
            </w:r>
          </w:p>
        </w:tc>
        <w:tc>
          <w:tcPr>
            <w:tcW w:w="2126" w:type="dxa"/>
          </w:tcPr>
          <w:p w:rsidR="00A40502" w:rsidRPr="0065730C" w:rsidRDefault="000351E6" w:rsidP="004D1B6B">
            <w:pPr>
              <w:spacing w:before="100" w:beforeAutospacing="1" w:after="100" w:afterAutospacing="1"/>
              <w:jc w:val="both"/>
              <w:rPr>
                <w:rFonts w:ascii="Arial" w:hAnsi="Arial" w:cs="Arial"/>
                <w:sz w:val="22"/>
                <w:szCs w:val="22"/>
              </w:rPr>
            </w:pPr>
            <w:r w:rsidRPr="0065730C">
              <w:rPr>
                <w:rFonts w:ascii="Arial" w:hAnsi="Arial" w:cs="Arial"/>
                <w:sz w:val="22"/>
                <w:szCs w:val="22"/>
                <w:lang w:eastAsia="en-ZA"/>
              </w:rPr>
              <w:t>0.03%</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10.</w:t>
            </w:r>
          </w:p>
        </w:tc>
        <w:tc>
          <w:tcPr>
            <w:tcW w:w="3540" w:type="dxa"/>
          </w:tcPr>
          <w:p w:rsidR="00A40502" w:rsidRDefault="00A40502" w:rsidP="004D1B6B">
            <w:pPr>
              <w:spacing w:before="100" w:beforeAutospacing="1" w:after="100" w:afterAutospacing="1"/>
              <w:jc w:val="both"/>
              <w:rPr>
                <w:rFonts w:ascii="Arial" w:hAnsi="Arial" w:cs="Arial"/>
                <w:bCs/>
                <w:sz w:val="22"/>
                <w:szCs w:val="22"/>
              </w:rPr>
            </w:pPr>
            <w:r>
              <w:rPr>
                <w:rFonts w:ascii="Arial" w:hAnsi="Arial" w:cs="Arial"/>
                <w:bCs/>
                <w:sz w:val="22"/>
                <w:szCs w:val="22"/>
              </w:rPr>
              <w:t>Trans Caledon Tunnel Authority</w:t>
            </w:r>
          </w:p>
        </w:tc>
        <w:tc>
          <w:tcPr>
            <w:tcW w:w="2835" w:type="dxa"/>
          </w:tcPr>
          <w:p w:rsidR="00A40502" w:rsidRPr="0065730C" w:rsidRDefault="00585987"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1%</w:t>
            </w:r>
          </w:p>
        </w:tc>
        <w:tc>
          <w:tcPr>
            <w:tcW w:w="2126" w:type="dxa"/>
          </w:tcPr>
          <w:p w:rsidR="00A40502" w:rsidRPr="0065730C" w:rsidRDefault="00585987"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0.20%</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11.</w:t>
            </w:r>
          </w:p>
        </w:tc>
        <w:tc>
          <w:tcPr>
            <w:tcW w:w="3540" w:type="dxa"/>
          </w:tcPr>
          <w:p w:rsidR="00A40502" w:rsidRPr="00196E72" w:rsidRDefault="00A40502" w:rsidP="008A05C8">
            <w:pPr>
              <w:spacing w:before="100" w:beforeAutospacing="1" w:after="100" w:afterAutospacing="1"/>
              <w:rPr>
                <w:rFonts w:ascii="Arial" w:hAnsi="Arial" w:cs="Arial"/>
                <w:bCs/>
                <w:sz w:val="22"/>
                <w:szCs w:val="22"/>
              </w:rPr>
            </w:pPr>
            <w:r w:rsidRPr="00196E72">
              <w:rPr>
                <w:rFonts w:ascii="Arial" w:hAnsi="Arial" w:cs="Arial"/>
                <w:bCs/>
                <w:sz w:val="22"/>
                <w:szCs w:val="22"/>
              </w:rPr>
              <w:t>Water Research Commission</w:t>
            </w:r>
          </w:p>
        </w:tc>
        <w:tc>
          <w:tcPr>
            <w:tcW w:w="2835" w:type="dxa"/>
          </w:tcPr>
          <w:p w:rsidR="00A40502" w:rsidRPr="0065730C" w:rsidRDefault="00196E72"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21%</w:t>
            </w:r>
          </w:p>
        </w:tc>
        <w:tc>
          <w:tcPr>
            <w:tcW w:w="2126" w:type="dxa"/>
          </w:tcPr>
          <w:p w:rsidR="00A40502" w:rsidRPr="0065730C" w:rsidRDefault="00196E72" w:rsidP="00196E72">
            <w:pPr>
              <w:rPr>
                <w:rFonts w:ascii="Arial" w:eastAsia="Calibri" w:hAnsi="Arial" w:cs="Arial"/>
                <w:sz w:val="22"/>
                <w:szCs w:val="22"/>
                <w:lang w:val="en-ZA" w:eastAsia="en-ZA"/>
              </w:rPr>
            </w:pPr>
            <w:r w:rsidRPr="0065730C">
              <w:rPr>
                <w:rFonts w:ascii="Arial" w:eastAsia="Calibri" w:hAnsi="Arial" w:cs="Arial"/>
                <w:sz w:val="22"/>
                <w:szCs w:val="22"/>
                <w:lang w:val="en-ZA" w:eastAsia="en-ZA"/>
              </w:rPr>
              <w:t>29%</w:t>
            </w:r>
          </w:p>
        </w:tc>
      </w:tr>
      <w:tr w:rsidR="00A40502" w:rsidTr="008A05C8">
        <w:trPr>
          <w:trHeight w:val="57"/>
        </w:trPr>
        <w:tc>
          <w:tcPr>
            <w:tcW w:w="571" w:type="dxa"/>
          </w:tcPr>
          <w:p w:rsidR="00A40502" w:rsidRDefault="00A40502" w:rsidP="004D1B6B">
            <w:pPr>
              <w:spacing w:before="100" w:beforeAutospacing="1" w:after="100" w:afterAutospacing="1"/>
              <w:jc w:val="both"/>
              <w:rPr>
                <w:rFonts w:ascii="Arial" w:hAnsi="Arial" w:cs="Arial"/>
                <w:sz w:val="22"/>
                <w:szCs w:val="22"/>
              </w:rPr>
            </w:pPr>
            <w:r>
              <w:rPr>
                <w:rFonts w:ascii="Arial" w:hAnsi="Arial" w:cs="Arial"/>
                <w:sz w:val="22"/>
                <w:szCs w:val="22"/>
              </w:rPr>
              <w:t>12.</w:t>
            </w:r>
          </w:p>
        </w:tc>
        <w:tc>
          <w:tcPr>
            <w:tcW w:w="3540" w:type="dxa"/>
          </w:tcPr>
          <w:p w:rsidR="00A40502" w:rsidRDefault="00A40502" w:rsidP="004D1B6B">
            <w:pPr>
              <w:spacing w:before="100" w:beforeAutospacing="1" w:after="100" w:afterAutospacing="1"/>
              <w:jc w:val="both"/>
              <w:rPr>
                <w:rFonts w:ascii="Arial" w:hAnsi="Arial" w:cs="Arial"/>
                <w:bCs/>
                <w:sz w:val="22"/>
                <w:szCs w:val="22"/>
              </w:rPr>
            </w:pPr>
            <w:proofErr w:type="spellStart"/>
            <w:r w:rsidRPr="0039726E">
              <w:rPr>
                <w:rFonts w:ascii="Arial" w:hAnsi="Arial" w:cs="Arial"/>
                <w:bCs/>
                <w:sz w:val="22"/>
                <w:szCs w:val="22"/>
              </w:rPr>
              <w:t>Inkomati</w:t>
            </w:r>
            <w:proofErr w:type="spellEnd"/>
            <w:r w:rsidRPr="0039726E">
              <w:rPr>
                <w:rFonts w:ascii="Arial" w:hAnsi="Arial" w:cs="Arial"/>
                <w:bCs/>
                <w:sz w:val="22"/>
                <w:szCs w:val="22"/>
              </w:rPr>
              <w:t xml:space="preserve"> CMA</w:t>
            </w:r>
          </w:p>
        </w:tc>
        <w:tc>
          <w:tcPr>
            <w:tcW w:w="2835" w:type="dxa"/>
          </w:tcPr>
          <w:p w:rsidR="00A40502" w:rsidRPr="0065730C" w:rsidRDefault="004C1E48"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30%</w:t>
            </w:r>
          </w:p>
        </w:tc>
        <w:tc>
          <w:tcPr>
            <w:tcW w:w="2126" w:type="dxa"/>
          </w:tcPr>
          <w:p w:rsidR="00A40502" w:rsidRPr="0065730C" w:rsidRDefault="004C1E48"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23%</w:t>
            </w:r>
          </w:p>
        </w:tc>
      </w:tr>
      <w:tr w:rsidR="00894D43" w:rsidTr="008A05C8">
        <w:tc>
          <w:tcPr>
            <w:tcW w:w="571" w:type="dxa"/>
          </w:tcPr>
          <w:p w:rsidR="00894D43" w:rsidRDefault="00A40502" w:rsidP="00D757F4">
            <w:pPr>
              <w:spacing w:before="100" w:beforeAutospacing="1" w:after="100" w:afterAutospacing="1"/>
              <w:jc w:val="both"/>
              <w:rPr>
                <w:rFonts w:ascii="Arial" w:hAnsi="Arial" w:cs="Arial"/>
                <w:sz w:val="22"/>
                <w:szCs w:val="22"/>
              </w:rPr>
            </w:pPr>
            <w:r>
              <w:rPr>
                <w:rFonts w:ascii="Arial" w:hAnsi="Arial" w:cs="Arial"/>
                <w:sz w:val="22"/>
                <w:szCs w:val="22"/>
              </w:rPr>
              <w:t>13.</w:t>
            </w:r>
          </w:p>
        </w:tc>
        <w:tc>
          <w:tcPr>
            <w:tcW w:w="3540" w:type="dxa"/>
          </w:tcPr>
          <w:p w:rsidR="00894D43" w:rsidRDefault="00894D43" w:rsidP="00D757F4">
            <w:pPr>
              <w:spacing w:before="100" w:beforeAutospacing="1" w:after="100" w:afterAutospacing="1"/>
              <w:jc w:val="both"/>
              <w:rPr>
                <w:rFonts w:ascii="Arial" w:hAnsi="Arial" w:cs="Arial"/>
                <w:sz w:val="22"/>
                <w:szCs w:val="22"/>
              </w:rPr>
            </w:pPr>
            <w:proofErr w:type="spellStart"/>
            <w:r>
              <w:rPr>
                <w:rFonts w:ascii="Arial" w:hAnsi="Arial" w:cs="Arial"/>
                <w:sz w:val="22"/>
                <w:szCs w:val="22"/>
              </w:rPr>
              <w:t>Breede-Gouritz</w:t>
            </w:r>
            <w:proofErr w:type="spellEnd"/>
            <w:r>
              <w:rPr>
                <w:rFonts w:ascii="Arial" w:hAnsi="Arial" w:cs="Arial"/>
                <w:sz w:val="22"/>
                <w:szCs w:val="22"/>
              </w:rPr>
              <w:t xml:space="preserve">  CMA</w:t>
            </w:r>
          </w:p>
        </w:tc>
        <w:tc>
          <w:tcPr>
            <w:tcW w:w="2835" w:type="dxa"/>
          </w:tcPr>
          <w:p w:rsidR="00894D43" w:rsidRPr="0065730C" w:rsidRDefault="00337003"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14.39%</w:t>
            </w:r>
          </w:p>
        </w:tc>
        <w:tc>
          <w:tcPr>
            <w:tcW w:w="2126" w:type="dxa"/>
          </w:tcPr>
          <w:p w:rsidR="00894D43" w:rsidRPr="0065730C" w:rsidRDefault="00337003" w:rsidP="004D1B6B">
            <w:pPr>
              <w:spacing w:before="100" w:beforeAutospacing="1" w:after="100" w:afterAutospacing="1"/>
              <w:jc w:val="both"/>
              <w:rPr>
                <w:rFonts w:ascii="Arial" w:hAnsi="Arial" w:cs="Arial"/>
                <w:sz w:val="22"/>
                <w:szCs w:val="22"/>
              </w:rPr>
            </w:pPr>
            <w:r w:rsidRPr="0065730C">
              <w:rPr>
                <w:rFonts w:ascii="Arial" w:hAnsi="Arial" w:cs="Arial"/>
                <w:sz w:val="22"/>
                <w:szCs w:val="22"/>
              </w:rPr>
              <w:t>22.36%</w:t>
            </w:r>
          </w:p>
        </w:tc>
      </w:tr>
    </w:tbl>
    <w:p w:rsidR="00C82A2C" w:rsidRPr="0095517A" w:rsidRDefault="00D70942" w:rsidP="0028215D">
      <w:pPr>
        <w:spacing w:before="100" w:beforeAutospacing="1" w:after="100" w:afterAutospacing="1"/>
        <w:ind w:left="1440" w:hanging="720"/>
        <w:jc w:val="center"/>
        <w:rPr>
          <w:rFonts w:ascii="Arial" w:hAnsi="Arial" w:cs="Arial"/>
          <w:bCs/>
          <w:sz w:val="22"/>
          <w:szCs w:val="22"/>
          <w:lang w:val="pt-BR"/>
        </w:rPr>
      </w:pPr>
      <w:r w:rsidRPr="0095517A">
        <w:rPr>
          <w:rFonts w:ascii="Arial" w:hAnsi="Arial" w:cs="Arial"/>
          <w:bCs/>
          <w:sz w:val="22"/>
          <w:szCs w:val="22"/>
          <w:lang w:val="pt-BR"/>
        </w:rPr>
        <w:t>--00O00---</w:t>
      </w: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4A" w:rsidRDefault="002B424A">
      <w:r>
        <w:separator/>
      </w:r>
    </w:p>
  </w:endnote>
  <w:endnote w:type="continuationSeparator" w:id="0">
    <w:p w:rsidR="002B424A" w:rsidRDefault="002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A40C01">
      <w:rPr>
        <w:rFonts w:ascii="Arial" w:hAnsi="Arial" w:cs="Arial"/>
        <w:sz w:val="16"/>
        <w:szCs w:val="16"/>
      </w:rPr>
      <w:t>1183</w:t>
    </w:r>
    <w:r>
      <w:rPr>
        <w:rFonts w:ascii="Arial" w:hAnsi="Arial" w:cs="Arial"/>
        <w:sz w:val="16"/>
        <w:szCs w:val="16"/>
      </w:rPr>
      <w:tab/>
    </w:r>
    <w:r>
      <w:rPr>
        <w:rFonts w:ascii="Arial" w:hAnsi="Arial" w:cs="Arial"/>
        <w:sz w:val="16"/>
        <w:szCs w:val="16"/>
      </w:rPr>
      <w:tab/>
      <w:t>NW</w:t>
    </w:r>
    <w:r w:rsidR="00B851F0">
      <w:rPr>
        <w:rFonts w:ascii="Arial" w:hAnsi="Arial" w:cs="Arial"/>
        <w:sz w:val="16"/>
        <w:szCs w:val="16"/>
      </w:rPr>
      <w:t>1</w:t>
    </w:r>
    <w:r w:rsidR="00A40C01">
      <w:rPr>
        <w:rFonts w:ascii="Arial" w:hAnsi="Arial" w:cs="Arial"/>
        <w:sz w:val="16"/>
        <w:szCs w:val="16"/>
      </w:rPr>
      <w:t>322</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A40C01">
      <w:rPr>
        <w:rFonts w:ascii="Arial" w:hAnsi="Arial" w:cs="Arial"/>
        <w:sz w:val="16"/>
        <w:szCs w:val="16"/>
      </w:rPr>
      <w:t>1183</w:t>
    </w:r>
    <w:r w:rsidR="003473E4">
      <w:rPr>
        <w:rFonts w:ascii="Arial" w:hAnsi="Arial" w:cs="Arial"/>
        <w:sz w:val="16"/>
        <w:szCs w:val="16"/>
      </w:rPr>
      <w:tab/>
    </w:r>
    <w:r w:rsidR="003473E4">
      <w:rPr>
        <w:rFonts w:ascii="Arial" w:hAnsi="Arial" w:cs="Arial"/>
        <w:sz w:val="16"/>
        <w:szCs w:val="16"/>
      </w:rPr>
      <w:tab/>
      <w:t>NW</w:t>
    </w:r>
    <w:r w:rsidR="00B851F0">
      <w:rPr>
        <w:rFonts w:ascii="Arial" w:hAnsi="Arial" w:cs="Arial"/>
        <w:sz w:val="16"/>
        <w:szCs w:val="16"/>
      </w:rPr>
      <w:t>1</w:t>
    </w:r>
    <w:r w:rsidR="00A40C01">
      <w:rPr>
        <w:rFonts w:ascii="Arial" w:hAnsi="Arial" w:cs="Arial"/>
        <w:sz w:val="16"/>
        <w:szCs w:val="16"/>
      </w:rPr>
      <w:t>322</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4A" w:rsidRDefault="002B424A">
      <w:r>
        <w:separator/>
      </w:r>
    </w:p>
  </w:footnote>
  <w:footnote w:type="continuationSeparator" w:id="0">
    <w:p w:rsidR="002B424A" w:rsidRDefault="002B4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CB2EA0"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A7A6F24"/>
    <w:multiLevelType w:val="hybridMultilevel"/>
    <w:tmpl w:val="14D23EA6"/>
    <w:lvl w:ilvl="0" w:tplc="EC2CFB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65446AF"/>
    <w:multiLevelType w:val="hybridMultilevel"/>
    <w:tmpl w:val="14D23EA6"/>
    <w:lvl w:ilvl="0" w:tplc="EC2CFB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1E6"/>
    <w:rsid w:val="00035A95"/>
    <w:rsid w:val="000362A3"/>
    <w:rsid w:val="00036790"/>
    <w:rsid w:val="000475B5"/>
    <w:rsid w:val="000520E5"/>
    <w:rsid w:val="000614F2"/>
    <w:rsid w:val="00072352"/>
    <w:rsid w:val="00073EBB"/>
    <w:rsid w:val="00075C08"/>
    <w:rsid w:val="000772AF"/>
    <w:rsid w:val="00081E70"/>
    <w:rsid w:val="00086AF5"/>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4340"/>
    <w:rsid w:val="001653FA"/>
    <w:rsid w:val="00171B07"/>
    <w:rsid w:val="001758C5"/>
    <w:rsid w:val="00185614"/>
    <w:rsid w:val="00187FF2"/>
    <w:rsid w:val="00194434"/>
    <w:rsid w:val="00196E72"/>
    <w:rsid w:val="00196EFD"/>
    <w:rsid w:val="001A0035"/>
    <w:rsid w:val="001A06B1"/>
    <w:rsid w:val="001A3298"/>
    <w:rsid w:val="001B6327"/>
    <w:rsid w:val="001B6885"/>
    <w:rsid w:val="001C5CAE"/>
    <w:rsid w:val="001D03EF"/>
    <w:rsid w:val="001D3462"/>
    <w:rsid w:val="001E036C"/>
    <w:rsid w:val="001F6A53"/>
    <w:rsid w:val="00201F06"/>
    <w:rsid w:val="00202460"/>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63F82"/>
    <w:rsid w:val="002810AB"/>
    <w:rsid w:val="0028215D"/>
    <w:rsid w:val="002876C5"/>
    <w:rsid w:val="002A053D"/>
    <w:rsid w:val="002A30E2"/>
    <w:rsid w:val="002A7BB5"/>
    <w:rsid w:val="002B2D1B"/>
    <w:rsid w:val="002B3F42"/>
    <w:rsid w:val="002B424A"/>
    <w:rsid w:val="002B4596"/>
    <w:rsid w:val="002B609C"/>
    <w:rsid w:val="002B671A"/>
    <w:rsid w:val="002B694F"/>
    <w:rsid w:val="002C0F11"/>
    <w:rsid w:val="002C1DC7"/>
    <w:rsid w:val="002C551C"/>
    <w:rsid w:val="002D3A9A"/>
    <w:rsid w:val="002D4E03"/>
    <w:rsid w:val="002D7A52"/>
    <w:rsid w:val="002E2DE4"/>
    <w:rsid w:val="002E32E6"/>
    <w:rsid w:val="002E4031"/>
    <w:rsid w:val="002E45E5"/>
    <w:rsid w:val="002E56BE"/>
    <w:rsid w:val="002E5DF9"/>
    <w:rsid w:val="002F0CFE"/>
    <w:rsid w:val="002F15F2"/>
    <w:rsid w:val="002F2084"/>
    <w:rsid w:val="002F68D5"/>
    <w:rsid w:val="003016A3"/>
    <w:rsid w:val="003175DB"/>
    <w:rsid w:val="00321778"/>
    <w:rsid w:val="00322BDC"/>
    <w:rsid w:val="00330424"/>
    <w:rsid w:val="00334BF2"/>
    <w:rsid w:val="003358E6"/>
    <w:rsid w:val="00337003"/>
    <w:rsid w:val="003375A7"/>
    <w:rsid w:val="003407C4"/>
    <w:rsid w:val="0034240D"/>
    <w:rsid w:val="00342459"/>
    <w:rsid w:val="003473E4"/>
    <w:rsid w:val="0035397A"/>
    <w:rsid w:val="00355562"/>
    <w:rsid w:val="003635E7"/>
    <w:rsid w:val="00363865"/>
    <w:rsid w:val="00365608"/>
    <w:rsid w:val="00366E7A"/>
    <w:rsid w:val="00367E3D"/>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4647"/>
    <w:rsid w:val="0046758B"/>
    <w:rsid w:val="00467D5C"/>
    <w:rsid w:val="00472ECA"/>
    <w:rsid w:val="00475B57"/>
    <w:rsid w:val="00476F6C"/>
    <w:rsid w:val="00481CC0"/>
    <w:rsid w:val="00485CC3"/>
    <w:rsid w:val="004A02D1"/>
    <w:rsid w:val="004A63AB"/>
    <w:rsid w:val="004B1A3E"/>
    <w:rsid w:val="004B1BAE"/>
    <w:rsid w:val="004B2369"/>
    <w:rsid w:val="004C1E48"/>
    <w:rsid w:val="004C2518"/>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1745C"/>
    <w:rsid w:val="005203BC"/>
    <w:rsid w:val="00521ABD"/>
    <w:rsid w:val="00522DFF"/>
    <w:rsid w:val="005232D7"/>
    <w:rsid w:val="00526C0B"/>
    <w:rsid w:val="00527BD6"/>
    <w:rsid w:val="005379E1"/>
    <w:rsid w:val="00540715"/>
    <w:rsid w:val="005444FD"/>
    <w:rsid w:val="00572BA8"/>
    <w:rsid w:val="00574A31"/>
    <w:rsid w:val="005752DE"/>
    <w:rsid w:val="00583A1F"/>
    <w:rsid w:val="00583E2D"/>
    <w:rsid w:val="005841EB"/>
    <w:rsid w:val="00585780"/>
    <w:rsid w:val="00585987"/>
    <w:rsid w:val="0059008E"/>
    <w:rsid w:val="00590D8A"/>
    <w:rsid w:val="005978E1"/>
    <w:rsid w:val="005A1EE0"/>
    <w:rsid w:val="005A2914"/>
    <w:rsid w:val="005B15A3"/>
    <w:rsid w:val="005B7358"/>
    <w:rsid w:val="005B7A58"/>
    <w:rsid w:val="005C771C"/>
    <w:rsid w:val="005D291A"/>
    <w:rsid w:val="005D6B20"/>
    <w:rsid w:val="005D7DEF"/>
    <w:rsid w:val="005E3AD0"/>
    <w:rsid w:val="005E3B44"/>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411B5"/>
    <w:rsid w:val="00641332"/>
    <w:rsid w:val="006423AF"/>
    <w:rsid w:val="006507D5"/>
    <w:rsid w:val="0065730C"/>
    <w:rsid w:val="00660EE8"/>
    <w:rsid w:val="00663055"/>
    <w:rsid w:val="00677C2D"/>
    <w:rsid w:val="00684A9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5511"/>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36E70"/>
    <w:rsid w:val="008425E7"/>
    <w:rsid w:val="00846E8B"/>
    <w:rsid w:val="00852F3F"/>
    <w:rsid w:val="00855CC8"/>
    <w:rsid w:val="00855DCE"/>
    <w:rsid w:val="008600F9"/>
    <w:rsid w:val="00872F8A"/>
    <w:rsid w:val="00873284"/>
    <w:rsid w:val="0087348E"/>
    <w:rsid w:val="0087537C"/>
    <w:rsid w:val="008755B0"/>
    <w:rsid w:val="00875B31"/>
    <w:rsid w:val="00876209"/>
    <w:rsid w:val="0088398E"/>
    <w:rsid w:val="00883CC3"/>
    <w:rsid w:val="00884565"/>
    <w:rsid w:val="00887BFD"/>
    <w:rsid w:val="00894D43"/>
    <w:rsid w:val="008A0509"/>
    <w:rsid w:val="008A05C8"/>
    <w:rsid w:val="008A0C3C"/>
    <w:rsid w:val="008A2E1C"/>
    <w:rsid w:val="008A4268"/>
    <w:rsid w:val="008A7DCE"/>
    <w:rsid w:val="008B04A4"/>
    <w:rsid w:val="008B1C30"/>
    <w:rsid w:val="008B3DE3"/>
    <w:rsid w:val="008B517B"/>
    <w:rsid w:val="008B66F5"/>
    <w:rsid w:val="008C35B4"/>
    <w:rsid w:val="008C42E2"/>
    <w:rsid w:val="008C4653"/>
    <w:rsid w:val="008C5297"/>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969"/>
    <w:rsid w:val="00977AF5"/>
    <w:rsid w:val="009831EC"/>
    <w:rsid w:val="00984D33"/>
    <w:rsid w:val="009854B4"/>
    <w:rsid w:val="009857C8"/>
    <w:rsid w:val="00995F3C"/>
    <w:rsid w:val="009A353B"/>
    <w:rsid w:val="009A5459"/>
    <w:rsid w:val="009B1473"/>
    <w:rsid w:val="009B29E4"/>
    <w:rsid w:val="009B3315"/>
    <w:rsid w:val="009B44A2"/>
    <w:rsid w:val="009B5458"/>
    <w:rsid w:val="009C0876"/>
    <w:rsid w:val="009C13FE"/>
    <w:rsid w:val="009C317A"/>
    <w:rsid w:val="009C7B03"/>
    <w:rsid w:val="009D0ED4"/>
    <w:rsid w:val="009E370B"/>
    <w:rsid w:val="009E55B3"/>
    <w:rsid w:val="009E5677"/>
    <w:rsid w:val="009F276C"/>
    <w:rsid w:val="009F76B4"/>
    <w:rsid w:val="00A00641"/>
    <w:rsid w:val="00A048FC"/>
    <w:rsid w:val="00A05BFF"/>
    <w:rsid w:val="00A063FC"/>
    <w:rsid w:val="00A07FD9"/>
    <w:rsid w:val="00A11D49"/>
    <w:rsid w:val="00A12676"/>
    <w:rsid w:val="00A162AA"/>
    <w:rsid w:val="00A1648A"/>
    <w:rsid w:val="00A16DB1"/>
    <w:rsid w:val="00A17903"/>
    <w:rsid w:val="00A31282"/>
    <w:rsid w:val="00A3272D"/>
    <w:rsid w:val="00A34652"/>
    <w:rsid w:val="00A40502"/>
    <w:rsid w:val="00A40C01"/>
    <w:rsid w:val="00A40E19"/>
    <w:rsid w:val="00A44775"/>
    <w:rsid w:val="00A4641B"/>
    <w:rsid w:val="00A46750"/>
    <w:rsid w:val="00A479C6"/>
    <w:rsid w:val="00A51439"/>
    <w:rsid w:val="00A55BCF"/>
    <w:rsid w:val="00A6020A"/>
    <w:rsid w:val="00A62452"/>
    <w:rsid w:val="00A6340A"/>
    <w:rsid w:val="00A63AD5"/>
    <w:rsid w:val="00A70AC8"/>
    <w:rsid w:val="00A7496D"/>
    <w:rsid w:val="00A74E94"/>
    <w:rsid w:val="00A7570E"/>
    <w:rsid w:val="00A93C97"/>
    <w:rsid w:val="00A946D0"/>
    <w:rsid w:val="00AA2D12"/>
    <w:rsid w:val="00AA4097"/>
    <w:rsid w:val="00AA4173"/>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2423"/>
    <w:rsid w:val="00B041EA"/>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51F0"/>
    <w:rsid w:val="00B8630A"/>
    <w:rsid w:val="00B87386"/>
    <w:rsid w:val="00B972CE"/>
    <w:rsid w:val="00BA386D"/>
    <w:rsid w:val="00BA46A6"/>
    <w:rsid w:val="00BA5B19"/>
    <w:rsid w:val="00BA78FB"/>
    <w:rsid w:val="00BB3767"/>
    <w:rsid w:val="00BB5BFB"/>
    <w:rsid w:val="00BB7784"/>
    <w:rsid w:val="00BC54AF"/>
    <w:rsid w:val="00BC77A8"/>
    <w:rsid w:val="00BC7AEC"/>
    <w:rsid w:val="00BD403F"/>
    <w:rsid w:val="00BE40FF"/>
    <w:rsid w:val="00BF06B9"/>
    <w:rsid w:val="00BF16A4"/>
    <w:rsid w:val="00C01DB2"/>
    <w:rsid w:val="00C04FBC"/>
    <w:rsid w:val="00C06F36"/>
    <w:rsid w:val="00C179BF"/>
    <w:rsid w:val="00C205F2"/>
    <w:rsid w:val="00C2124A"/>
    <w:rsid w:val="00C27D1E"/>
    <w:rsid w:val="00C3134A"/>
    <w:rsid w:val="00C325D7"/>
    <w:rsid w:val="00C32FF7"/>
    <w:rsid w:val="00C356C6"/>
    <w:rsid w:val="00C425FE"/>
    <w:rsid w:val="00C504B4"/>
    <w:rsid w:val="00C5152A"/>
    <w:rsid w:val="00C53119"/>
    <w:rsid w:val="00C55120"/>
    <w:rsid w:val="00C57C65"/>
    <w:rsid w:val="00C757C3"/>
    <w:rsid w:val="00C75CBC"/>
    <w:rsid w:val="00C765D8"/>
    <w:rsid w:val="00C81C41"/>
    <w:rsid w:val="00C82A2C"/>
    <w:rsid w:val="00C82A7C"/>
    <w:rsid w:val="00C83667"/>
    <w:rsid w:val="00C839DC"/>
    <w:rsid w:val="00C83BBD"/>
    <w:rsid w:val="00CA02FD"/>
    <w:rsid w:val="00CA2E3F"/>
    <w:rsid w:val="00CB2EA0"/>
    <w:rsid w:val="00CC0595"/>
    <w:rsid w:val="00CC1227"/>
    <w:rsid w:val="00CC596F"/>
    <w:rsid w:val="00CC6079"/>
    <w:rsid w:val="00CD42FF"/>
    <w:rsid w:val="00CE0DE6"/>
    <w:rsid w:val="00CE4088"/>
    <w:rsid w:val="00CE6D44"/>
    <w:rsid w:val="00CF23AD"/>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91CA4"/>
    <w:rsid w:val="00D953C2"/>
    <w:rsid w:val="00D9759F"/>
    <w:rsid w:val="00D976BC"/>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02A3"/>
    <w:rsid w:val="00E010BD"/>
    <w:rsid w:val="00E068C5"/>
    <w:rsid w:val="00E24799"/>
    <w:rsid w:val="00E25606"/>
    <w:rsid w:val="00E43153"/>
    <w:rsid w:val="00E514FB"/>
    <w:rsid w:val="00E529A0"/>
    <w:rsid w:val="00E53673"/>
    <w:rsid w:val="00E55CE4"/>
    <w:rsid w:val="00E5603A"/>
    <w:rsid w:val="00E60945"/>
    <w:rsid w:val="00E60C3B"/>
    <w:rsid w:val="00E63EF7"/>
    <w:rsid w:val="00E6489B"/>
    <w:rsid w:val="00E65010"/>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719"/>
    <w:rsid w:val="00EC1AD1"/>
    <w:rsid w:val="00EC3690"/>
    <w:rsid w:val="00EC383B"/>
    <w:rsid w:val="00EC4920"/>
    <w:rsid w:val="00EC6562"/>
    <w:rsid w:val="00ED72C3"/>
    <w:rsid w:val="00EE0081"/>
    <w:rsid w:val="00EE143A"/>
    <w:rsid w:val="00EE6781"/>
    <w:rsid w:val="00EF4888"/>
    <w:rsid w:val="00EF584B"/>
    <w:rsid w:val="00F0437A"/>
    <w:rsid w:val="00F14285"/>
    <w:rsid w:val="00F15750"/>
    <w:rsid w:val="00F16EF8"/>
    <w:rsid w:val="00F21C03"/>
    <w:rsid w:val="00F22F13"/>
    <w:rsid w:val="00F2534D"/>
    <w:rsid w:val="00F25502"/>
    <w:rsid w:val="00F26DCF"/>
    <w:rsid w:val="00F328D8"/>
    <w:rsid w:val="00F36DCF"/>
    <w:rsid w:val="00F40808"/>
    <w:rsid w:val="00F41595"/>
    <w:rsid w:val="00F42D38"/>
    <w:rsid w:val="00F42F1F"/>
    <w:rsid w:val="00F44AA6"/>
    <w:rsid w:val="00F451C1"/>
    <w:rsid w:val="00F47145"/>
    <w:rsid w:val="00F64A98"/>
    <w:rsid w:val="00F70E58"/>
    <w:rsid w:val="00F711A0"/>
    <w:rsid w:val="00F72C81"/>
    <w:rsid w:val="00F72F16"/>
    <w:rsid w:val="00F75A58"/>
    <w:rsid w:val="00F7680A"/>
    <w:rsid w:val="00F76B66"/>
    <w:rsid w:val="00F77009"/>
    <w:rsid w:val="00F8107A"/>
    <w:rsid w:val="00F925E5"/>
    <w:rsid w:val="00F93F7E"/>
    <w:rsid w:val="00F94BEB"/>
    <w:rsid w:val="00F95837"/>
    <w:rsid w:val="00FA1357"/>
    <w:rsid w:val="00FA432A"/>
    <w:rsid w:val="00FB38ED"/>
    <w:rsid w:val="00FB705C"/>
    <w:rsid w:val="00FB771F"/>
    <w:rsid w:val="00FC53C3"/>
    <w:rsid w:val="00FC625C"/>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2016-05-11T06:11:00Z</cp:lastPrinted>
  <dcterms:created xsi:type="dcterms:W3CDTF">2016-05-24T11:06:00Z</dcterms:created>
  <dcterms:modified xsi:type="dcterms:W3CDTF">2016-05-24T11:06:00Z</dcterms:modified>
</cp:coreProperties>
</file>