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F8" w:rsidRPr="0034705D" w:rsidRDefault="001F41F8">
      <w:pPr>
        <w:pStyle w:val="Heading1"/>
        <w:jc w:val="center"/>
        <w:rPr>
          <w:sz w:val="24"/>
          <w:u w:val="single"/>
        </w:rPr>
      </w:pPr>
      <w:r w:rsidRPr="0034705D">
        <w:rPr>
          <w:sz w:val="24"/>
          <w:u w:val="single"/>
        </w:rPr>
        <w:t>NATIONAL ASSEMBLY</w:t>
      </w:r>
    </w:p>
    <w:p w:rsidR="001F41F8" w:rsidRPr="0034705D" w:rsidRDefault="001F41F8">
      <w:pPr>
        <w:jc w:val="both"/>
        <w:rPr>
          <w:b/>
          <w:sz w:val="24"/>
          <w:u w:val="single"/>
        </w:rPr>
      </w:pPr>
    </w:p>
    <w:p w:rsidR="001F41F8" w:rsidRPr="0034705D" w:rsidRDefault="001F41F8">
      <w:pPr>
        <w:pStyle w:val="BodyText"/>
        <w:rPr>
          <w:b/>
          <w:bCs/>
          <w:sz w:val="24"/>
          <w:u w:val="single"/>
        </w:rPr>
      </w:pPr>
      <w:r w:rsidRPr="0034705D">
        <w:rPr>
          <w:b/>
          <w:bCs/>
          <w:sz w:val="24"/>
          <w:u w:val="single"/>
        </w:rPr>
        <w:t>FOR WRITTEN REPLY</w:t>
      </w:r>
    </w:p>
    <w:p w:rsidR="001F41F8" w:rsidRPr="0034705D" w:rsidRDefault="001F41F8">
      <w:pPr>
        <w:pStyle w:val="BodyText"/>
        <w:rPr>
          <w:b/>
          <w:bCs/>
          <w:sz w:val="24"/>
          <w:u w:val="single"/>
        </w:rPr>
      </w:pPr>
    </w:p>
    <w:p w:rsidR="001F41F8" w:rsidRPr="0034705D" w:rsidRDefault="001F41F8">
      <w:pPr>
        <w:pStyle w:val="BodyText"/>
        <w:rPr>
          <w:b/>
          <w:bCs/>
          <w:sz w:val="24"/>
          <w:u w:val="single"/>
        </w:rPr>
      </w:pPr>
      <w:r w:rsidRPr="0034705D">
        <w:rPr>
          <w:b/>
          <w:bCs/>
          <w:sz w:val="24"/>
          <w:u w:val="single"/>
        </w:rPr>
        <w:t xml:space="preserve">QUESTION NO. </w:t>
      </w:r>
      <w:r>
        <w:rPr>
          <w:b/>
          <w:bCs/>
          <w:sz w:val="24"/>
          <w:u w:val="single"/>
        </w:rPr>
        <w:t>1180</w:t>
      </w:r>
    </w:p>
    <w:p w:rsidR="001F41F8" w:rsidRPr="0034705D" w:rsidRDefault="001F41F8">
      <w:pPr>
        <w:pStyle w:val="BodyText"/>
        <w:rPr>
          <w:b/>
          <w:bCs/>
          <w:sz w:val="24"/>
          <w:u w:val="single"/>
        </w:rPr>
      </w:pPr>
    </w:p>
    <w:p w:rsidR="001F41F8" w:rsidRPr="00923623" w:rsidRDefault="001F41F8">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Pr>
          <w:b/>
          <w:bCs/>
          <w:sz w:val="24"/>
          <w:u w:val="single"/>
        </w:rPr>
        <w:t>22 APRIL</w:t>
      </w:r>
      <w:r w:rsidRPr="00923623">
        <w:rPr>
          <w:b/>
          <w:bCs/>
          <w:sz w:val="24"/>
          <w:u w:val="single"/>
        </w:rPr>
        <w:t xml:space="preserve"> 2016   </w:t>
      </w:r>
    </w:p>
    <w:p w:rsidR="001F41F8" w:rsidRPr="00067DAB" w:rsidRDefault="001F41F8"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ION PAPER NO. 1</w:t>
      </w:r>
      <w:r>
        <w:rPr>
          <w:b/>
          <w:bCs/>
          <w:sz w:val="24"/>
          <w:u w:val="single"/>
        </w:rPr>
        <w:t>2</w:t>
      </w:r>
      <w:r w:rsidRPr="00067DAB">
        <w:rPr>
          <w:b/>
          <w:bCs/>
          <w:sz w:val="24"/>
          <w:u w:val="single"/>
        </w:rPr>
        <w:t>)</w:t>
      </w:r>
    </w:p>
    <w:p w:rsidR="001F41F8" w:rsidRPr="00D23E84" w:rsidRDefault="001F41F8" w:rsidP="00D23E84">
      <w:pPr>
        <w:spacing w:before="100" w:beforeAutospacing="1" w:after="100" w:afterAutospacing="1"/>
        <w:ind w:left="851" w:hanging="851"/>
        <w:jc w:val="both"/>
        <w:outlineLvl w:val="0"/>
        <w:rPr>
          <w:b/>
          <w:sz w:val="24"/>
          <w:u w:val="single"/>
        </w:rPr>
      </w:pPr>
      <w:r w:rsidRPr="00D23E84">
        <w:rPr>
          <w:b/>
          <w:sz w:val="24"/>
          <w:u w:val="single"/>
        </w:rPr>
        <w:t>Mr D America (DA) to ask the Minister of Health:</w:t>
      </w:r>
    </w:p>
    <w:p w:rsidR="001F41F8" w:rsidRPr="00D23E84" w:rsidRDefault="001F41F8" w:rsidP="00D23E84">
      <w:pPr>
        <w:spacing w:before="100" w:beforeAutospacing="1" w:after="100" w:afterAutospacing="1"/>
        <w:ind w:left="720" w:hanging="720"/>
        <w:jc w:val="both"/>
        <w:outlineLvl w:val="0"/>
        <w:rPr>
          <w:sz w:val="24"/>
        </w:rPr>
      </w:pPr>
      <w:r w:rsidRPr="00D23E84">
        <w:rPr>
          <w:sz w:val="24"/>
        </w:rPr>
        <w:t>(1)</w:t>
      </w:r>
      <w:r w:rsidRPr="00D23E84">
        <w:rPr>
          <w:sz w:val="24"/>
        </w:rPr>
        <w:tab/>
        <w:t>(a) What is the total number of applications for registration from doctors who were trained in other countries that were received by the Health Professions Council of SA (HPCSA) (i) in (aa) 2010, (bb) 2011, (cc) 2012, (dd) 2013, (ee) 2014 and (ff) 2015 and (ii) since 1 January 2016, (b) what is the total number of the specified doctors who successfully registered in each of the specified years and (c) what are the main reasons for unsuccessful applications;</w:t>
      </w:r>
    </w:p>
    <w:p w:rsidR="001F41F8" w:rsidRPr="00D23E84" w:rsidRDefault="001F41F8" w:rsidP="00D23E84">
      <w:pPr>
        <w:spacing w:before="100" w:beforeAutospacing="1" w:after="100" w:afterAutospacing="1"/>
        <w:ind w:left="720" w:hanging="720"/>
        <w:jc w:val="both"/>
        <w:rPr>
          <w:sz w:val="24"/>
        </w:rPr>
      </w:pPr>
      <w:r w:rsidRPr="00D23E84">
        <w:rPr>
          <w:sz w:val="24"/>
        </w:rPr>
        <w:t>(2)</w:t>
      </w:r>
      <w:r w:rsidRPr="00D23E84">
        <w:rPr>
          <w:sz w:val="24"/>
        </w:rPr>
        <w:tab/>
        <w:t>is there a target processing time set for applications received from the specified doctors to register with the HPCSA from initial application to completion of registration; if not, why not; if so, (a) what is the target time, (b) what is the actual average processing time for the specified applications, (c) what are the main reasons for delays in the processing of the specified applications and (d) what steps have been put in place to address the delays?</w:t>
      </w:r>
    </w:p>
    <w:p w:rsidR="001F41F8" w:rsidRDefault="001F41F8" w:rsidP="00366E06">
      <w:pPr>
        <w:pStyle w:val="Heading6"/>
        <w:tabs>
          <w:tab w:val="clear" w:pos="660"/>
          <w:tab w:val="clear" w:pos="864"/>
          <w:tab w:val="clear" w:pos="1440"/>
        </w:tabs>
        <w:ind w:left="0" w:firstLine="0"/>
        <w:rPr>
          <w:u w:val="single"/>
        </w:rPr>
      </w:pPr>
      <w:r>
        <w:rPr>
          <w:color w:val="000000"/>
        </w:rPr>
        <w:t>NW1319E</w:t>
      </w:r>
      <w:r>
        <w:rPr>
          <w:color w:val="000000"/>
          <w:szCs w:val="20"/>
        </w:rPr>
        <w:t xml:space="preserve"> </w:t>
      </w:r>
    </w:p>
    <w:p w:rsidR="001F41F8" w:rsidRPr="0034705D" w:rsidRDefault="001F41F8" w:rsidP="00C41194">
      <w:pPr>
        <w:rPr>
          <w:b/>
          <w:bCs/>
          <w:sz w:val="24"/>
          <w:u w:val="single"/>
          <w:lang w:val="en-US"/>
        </w:rPr>
      </w:pPr>
      <w:r w:rsidRPr="0034705D">
        <w:rPr>
          <w:b/>
          <w:bCs/>
          <w:sz w:val="24"/>
          <w:u w:val="single"/>
          <w:lang w:val="en-US"/>
        </w:rPr>
        <w:t>REPLY:</w:t>
      </w:r>
    </w:p>
    <w:p w:rsidR="001F41F8" w:rsidRDefault="001F41F8" w:rsidP="005E7BF6">
      <w:pPr>
        <w:jc w:val="both"/>
        <w:rPr>
          <w:sz w:val="24"/>
        </w:rPr>
      </w:pPr>
    </w:p>
    <w:p w:rsidR="001F41F8" w:rsidRPr="00D73A46" w:rsidRDefault="001F41F8" w:rsidP="00D73A46">
      <w:pPr>
        <w:pStyle w:val="BodyText"/>
        <w:ind w:left="720" w:hanging="720"/>
        <w:rPr>
          <w:sz w:val="24"/>
          <w:lang w:val="en-GB"/>
        </w:rPr>
      </w:pPr>
      <w:r>
        <w:rPr>
          <w:sz w:val="24"/>
          <w:lang w:val="en-GB"/>
        </w:rPr>
        <w:t>(</w:t>
      </w:r>
      <w:r w:rsidRPr="00D73A46">
        <w:rPr>
          <w:sz w:val="24"/>
          <w:lang w:val="en-GB"/>
        </w:rPr>
        <w:t>1)</w:t>
      </w:r>
      <w:r>
        <w:rPr>
          <w:sz w:val="24"/>
          <w:lang w:val="en-GB"/>
        </w:rPr>
        <w:tab/>
        <w:t>(a) and (b)</w:t>
      </w:r>
      <w:r>
        <w:rPr>
          <w:sz w:val="24"/>
          <w:lang w:val="en-GB"/>
        </w:rPr>
        <w:tab/>
        <w:t>Th</w:t>
      </w:r>
      <w:r w:rsidRPr="00D73A46">
        <w:rPr>
          <w:sz w:val="24"/>
          <w:lang w:val="en-GB"/>
        </w:rPr>
        <w:t xml:space="preserve">e </w:t>
      </w:r>
      <w:r>
        <w:rPr>
          <w:sz w:val="24"/>
          <w:lang w:val="en-GB"/>
        </w:rPr>
        <w:t>following table reflects the details in this regard</w:t>
      </w:r>
      <w:r w:rsidRPr="00D73A46">
        <w:rPr>
          <w:sz w:val="24"/>
          <w:lang w:val="en-GB"/>
        </w:rPr>
        <w:t xml:space="preserve"> </w:t>
      </w:r>
    </w:p>
    <w:p w:rsidR="001F41F8" w:rsidRPr="00D73A46" w:rsidRDefault="001F41F8" w:rsidP="00D73A46">
      <w:pPr>
        <w:pStyle w:val="BodyText"/>
        <w:rPr>
          <w:sz w:val="24"/>
          <w:lang w:val="en-GB"/>
        </w:rPr>
      </w:pPr>
      <w:r>
        <w:rPr>
          <w:sz w:val="24"/>
          <w:lang w:val="en-GB"/>
        </w:rPr>
        <w:tab/>
      </w:r>
      <w:r w:rsidRPr="00D73A46">
        <w:rPr>
          <w:sz w:val="24"/>
          <w:lang w:val="en-GB"/>
        </w:rPr>
        <w:t xml:space="preserve">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1418"/>
        <w:gridCol w:w="1984"/>
        <w:gridCol w:w="1701"/>
        <w:gridCol w:w="1701"/>
      </w:tblGrid>
      <w:tr w:rsidR="001F41F8" w:rsidRPr="00D73A46" w:rsidTr="00D73A46">
        <w:tc>
          <w:tcPr>
            <w:tcW w:w="1275" w:type="dxa"/>
            <w:shd w:val="clear" w:color="auto" w:fill="BFBFBF"/>
          </w:tcPr>
          <w:p w:rsidR="001F41F8" w:rsidRPr="00D73A46" w:rsidRDefault="001F41F8" w:rsidP="00D73A46">
            <w:pPr>
              <w:pStyle w:val="BodyText"/>
              <w:rPr>
                <w:b/>
                <w:sz w:val="24"/>
                <w:lang w:val="en-GB"/>
              </w:rPr>
            </w:pPr>
            <w:r w:rsidRPr="00D73A46">
              <w:rPr>
                <w:b/>
                <w:sz w:val="24"/>
                <w:lang w:val="en-GB"/>
              </w:rPr>
              <w:t>No</w:t>
            </w:r>
          </w:p>
        </w:tc>
        <w:tc>
          <w:tcPr>
            <w:tcW w:w="1418" w:type="dxa"/>
            <w:shd w:val="clear" w:color="auto" w:fill="BFBFBF"/>
          </w:tcPr>
          <w:p w:rsidR="001F41F8" w:rsidRPr="00D73A46" w:rsidRDefault="001F41F8" w:rsidP="00D73A46">
            <w:pPr>
              <w:pStyle w:val="BodyText"/>
              <w:rPr>
                <w:b/>
                <w:sz w:val="24"/>
                <w:lang w:val="en-GB"/>
              </w:rPr>
            </w:pPr>
            <w:r w:rsidRPr="00D73A46">
              <w:rPr>
                <w:b/>
                <w:sz w:val="24"/>
                <w:lang w:val="en-GB"/>
              </w:rPr>
              <w:t>Year</w:t>
            </w:r>
          </w:p>
        </w:tc>
        <w:tc>
          <w:tcPr>
            <w:tcW w:w="1984" w:type="dxa"/>
            <w:shd w:val="clear" w:color="auto" w:fill="BFBFBF"/>
          </w:tcPr>
          <w:p w:rsidR="001F41F8" w:rsidRPr="00D73A46" w:rsidRDefault="001F41F8" w:rsidP="00D73A46">
            <w:pPr>
              <w:pStyle w:val="BodyText"/>
              <w:rPr>
                <w:b/>
                <w:sz w:val="24"/>
                <w:lang w:val="en-GB"/>
              </w:rPr>
            </w:pPr>
            <w:r w:rsidRPr="00D73A46">
              <w:rPr>
                <w:b/>
                <w:sz w:val="24"/>
                <w:lang w:val="en-GB"/>
              </w:rPr>
              <w:t>Applications Received</w:t>
            </w:r>
          </w:p>
        </w:tc>
        <w:tc>
          <w:tcPr>
            <w:tcW w:w="1701" w:type="dxa"/>
            <w:shd w:val="clear" w:color="auto" w:fill="BFBFBF"/>
          </w:tcPr>
          <w:p w:rsidR="001F41F8" w:rsidRPr="00D73A46" w:rsidRDefault="001F41F8" w:rsidP="00D73A46">
            <w:pPr>
              <w:pStyle w:val="BodyText"/>
              <w:rPr>
                <w:b/>
                <w:sz w:val="24"/>
                <w:lang w:val="en-GB"/>
              </w:rPr>
            </w:pPr>
            <w:r w:rsidRPr="00D73A46">
              <w:rPr>
                <w:b/>
                <w:sz w:val="24"/>
                <w:lang w:val="en-GB"/>
              </w:rPr>
              <w:t>Successfully Registered</w:t>
            </w:r>
          </w:p>
        </w:tc>
        <w:tc>
          <w:tcPr>
            <w:tcW w:w="1701" w:type="dxa"/>
            <w:shd w:val="clear" w:color="auto" w:fill="BFBFBF"/>
          </w:tcPr>
          <w:p w:rsidR="001F41F8" w:rsidRPr="00D73A46" w:rsidRDefault="001F41F8" w:rsidP="00D73A46">
            <w:pPr>
              <w:pStyle w:val="BodyText"/>
              <w:rPr>
                <w:b/>
                <w:sz w:val="24"/>
                <w:lang w:val="en-GB"/>
              </w:rPr>
            </w:pPr>
            <w:r w:rsidRPr="00D73A46">
              <w:rPr>
                <w:b/>
                <w:sz w:val="24"/>
                <w:lang w:val="en-GB"/>
              </w:rPr>
              <w:t>Percentage Registered</w:t>
            </w:r>
          </w:p>
        </w:tc>
      </w:tr>
      <w:tr w:rsidR="001F41F8" w:rsidRPr="00D73A46" w:rsidTr="00D73A46">
        <w:tc>
          <w:tcPr>
            <w:tcW w:w="1275" w:type="dxa"/>
          </w:tcPr>
          <w:p w:rsidR="001F41F8" w:rsidRPr="00D73A46" w:rsidRDefault="001F41F8" w:rsidP="00D73A46">
            <w:pPr>
              <w:pStyle w:val="BodyText"/>
              <w:rPr>
                <w:sz w:val="24"/>
                <w:lang w:val="en-GB"/>
              </w:rPr>
            </w:pPr>
            <w:r w:rsidRPr="00D73A46">
              <w:rPr>
                <w:sz w:val="24"/>
                <w:lang w:val="en-GB"/>
              </w:rPr>
              <w:t>aa</w:t>
            </w:r>
          </w:p>
        </w:tc>
        <w:tc>
          <w:tcPr>
            <w:tcW w:w="1418" w:type="dxa"/>
          </w:tcPr>
          <w:p w:rsidR="001F41F8" w:rsidRPr="00D73A46" w:rsidRDefault="001F41F8" w:rsidP="00D73A46">
            <w:pPr>
              <w:pStyle w:val="BodyText"/>
              <w:rPr>
                <w:sz w:val="24"/>
                <w:lang w:val="en-GB"/>
              </w:rPr>
            </w:pPr>
            <w:r w:rsidRPr="00D73A46">
              <w:rPr>
                <w:sz w:val="24"/>
                <w:lang w:val="en-GB"/>
              </w:rPr>
              <w:t>2010</w:t>
            </w:r>
          </w:p>
        </w:tc>
        <w:tc>
          <w:tcPr>
            <w:tcW w:w="1984" w:type="dxa"/>
          </w:tcPr>
          <w:p w:rsidR="001F41F8" w:rsidRPr="00D73A46" w:rsidRDefault="001F41F8" w:rsidP="00D73A46">
            <w:pPr>
              <w:pStyle w:val="BodyText"/>
              <w:rPr>
                <w:sz w:val="24"/>
                <w:lang w:val="en-GB"/>
              </w:rPr>
            </w:pPr>
            <w:r w:rsidRPr="00D73A46">
              <w:rPr>
                <w:sz w:val="24"/>
                <w:lang w:val="en-GB"/>
              </w:rPr>
              <w:t>369</w:t>
            </w:r>
          </w:p>
        </w:tc>
        <w:tc>
          <w:tcPr>
            <w:tcW w:w="1701" w:type="dxa"/>
          </w:tcPr>
          <w:p w:rsidR="001F41F8" w:rsidRPr="00D73A46" w:rsidRDefault="001F41F8" w:rsidP="00D73A46">
            <w:pPr>
              <w:pStyle w:val="BodyText"/>
              <w:rPr>
                <w:sz w:val="24"/>
                <w:lang w:val="en-GB"/>
              </w:rPr>
            </w:pPr>
            <w:r w:rsidRPr="00D73A46">
              <w:rPr>
                <w:sz w:val="24"/>
                <w:lang w:val="en-GB"/>
              </w:rPr>
              <w:t>324</w:t>
            </w:r>
          </w:p>
        </w:tc>
        <w:tc>
          <w:tcPr>
            <w:tcW w:w="1701" w:type="dxa"/>
          </w:tcPr>
          <w:p w:rsidR="001F41F8" w:rsidRPr="00D73A46" w:rsidRDefault="001F41F8" w:rsidP="00D73A46">
            <w:pPr>
              <w:pStyle w:val="BodyText"/>
              <w:rPr>
                <w:sz w:val="24"/>
                <w:lang w:val="en-GB"/>
              </w:rPr>
            </w:pPr>
            <w:r w:rsidRPr="00D73A46">
              <w:rPr>
                <w:sz w:val="24"/>
                <w:lang w:val="en-GB"/>
              </w:rPr>
              <w:t>87.80%</w:t>
            </w:r>
          </w:p>
        </w:tc>
      </w:tr>
      <w:tr w:rsidR="001F41F8" w:rsidRPr="00D73A46" w:rsidTr="00D73A46">
        <w:tc>
          <w:tcPr>
            <w:tcW w:w="1275" w:type="dxa"/>
          </w:tcPr>
          <w:p w:rsidR="001F41F8" w:rsidRPr="00D73A46" w:rsidRDefault="001F41F8" w:rsidP="00D73A46">
            <w:pPr>
              <w:pStyle w:val="BodyText"/>
              <w:rPr>
                <w:sz w:val="24"/>
                <w:lang w:val="en-GB"/>
              </w:rPr>
            </w:pPr>
            <w:r w:rsidRPr="00D73A46">
              <w:rPr>
                <w:sz w:val="24"/>
                <w:lang w:val="en-GB"/>
              </w:rPr>
              <w:t>bb</w:t>
            </w:r>
          </w:p>
        </w:tc>
        <w:tc>
          <w:tcPr>
            <w:tcW w:w="1418" w:type="dxa"/>
          </w:tcPr>
          <w:p w:rsidR="001F41F8" w:rsidRPr="00D73A46" w:rsidRDefault="001F41F8" w:rsidP="00D73A46">
            <w:pPr>
              <w:pStyle w:val="BodyText"/>
              <w:rPr>
                <w:sz w:val="24"/>
                <w:lang w:val="en-GB"/>
              </w:rPr>
            </w:pPr>
            <w:r w:rsidRPr="00D73A46">
              <w:rPr>
                <w:sz w:val="24"/>
                <w:lang w:val="en-GB"/>
              </w:rPr>
              <w:t>2011</w:t>
            </w:r>
          </w:p>
        </w:tc>
        <w:tc>
          <w:tcPr>
            <w:tcW w:w="1984" w:type="dxa"/>
          </w:tcPr>
          <w:p w:rsidR="001F41F8" w:rsidRPr="00D73A46" w:rsidRDefault="001F41F8" w:rsidP="00D73A46">
            <w:pPr>
              <w:pStyle w:val="BodyText"/>
              <w:rPr>
                <w:sz w:val="24"/>
                <w:lang w:val="en-GB"/>
              </w:rPr>
            </w:pPr>
            <w:r w:rsidRPr="00D73A46">
              <w:rPr>
                <w:sz w:val="24"/>
                <w:lang w:val="en-GB"/>
              </w:rPr>
              <w:t>238</w:t>
            </w:r>
          </w:p>
        </w:tc>
        <w:tc>
          <w:tcPr>
            <w:tcW w:w="1701" w:type="dxa"/>
          </w:tcPr>
          <w:p w:rsidR="001F41F8" w:rsidRPr="00D73A46" w:rsidRDefault="001F41F8" w:rsidP="00D73A46">
            <w:pPr>
              <w:pStyle w:val="BodyText"/>
              <w:rPr>
                <w:sz w:val="24"/>
                <w:lang w:val="en-GB"/>
              </w:rPr>
            </w:pPr>
            <w:r w:rsidRPr="00D73A46">
              <w:rPr>
                <w:sz w:val="24"/>
                <w:lang w:val="en-GB"/>
              </w:rPr>
              <w:t>237</w:t>
            </w:r>
          </w:p>
        </w:tc>
        <w:tc>
          <w:tcPr>
            <w:tcW w:w="1701" w:type="dxa"/>
          </w:tcPr>
          <w:p w:rsidR="001F41F8" w:rsidRPr="00D73A46" w:rsidRDefault="001F41F8" w:rsidP="00D73A46">
            <w:pPr>
              <w:pStyle w:val="BodyText"/>
              <w:rPr>
                <w:sz w:val="24"/>
                <w:lang w:val="en-GB"/>
              </w:rPr>
            </w:pPr>
            <w:r w:rsidRPr="00D73A46">
              <w:rPr>
                <w:sz w:val="24"/>
                <w:lang w:val="en-GB"/>
              </w:rPr>
              <w:t>99.58%</w:t>
            </w:r>
          </w:p>
        </w:tc>
      </w:tr>
      <w:tr w:rsidR="001F41F8" w:rsidRPr="00D73A46" w:rsidTr="00D73A46">
        <w:tc>
          <w:tcPr>
            <w:tcW w:w="1275" w:type="dxa"/>
          </w:tcPr>
          <w:p w:rsidR="001F41F8" w:rsidRPr="00D73A46" w:rsidRDefault="001F41F8" w:rsidP="00D73A46">
            <w:pPr>
              <w:pStyle w:val="BodyText"/>
              <w:rPr>
                <w:sz w:val="24"/>
                <w:lang w:val="en-GB"/>
              </w:rPr>
            </w:pPr>
            <w:r w:rsidRPr="00D73A46">
              <w:rPr>
                <w:sz w:val="24"/>
                <w:lang w:val="en-GB"/>
              </w:rPr>
              <w:t>cc</w:t>
            </w:r>
          </w:p>
        </w:tc>
        <w:tc>
          <w:tcPr>
            <w:tcW w:w="1418" w:type="dxa"/>
          </w:tcPr>
          <w:p w:rsidR="001F41F8" w:rsidRPr="00D73A46" w:rsidRDefault="001F41F8" w:rsidP="00D73A46">
            <w:pPr>
              <w:pStyle w:val="BodyText"/>
              <w:rPr>
                <w:sz w:val="24"/>
                <w:lang w:val="en-GB"/>
              </w:rPr>
            </w:pPr>
            <w:r w:rsidRPr="00D73A46">
              <w:rPr>
                <w:sz w:val="24"/>
                <w:lang w:val="en-GB"/>
              </w:rPr>
              <w:t>2012</w:t>
            </w:r>
          </w:p>
        </w:tc>
        <w:tc>
          <w:tcPr>
            <w:tcW w:w="1984" w:type="dxa"/>
          </w:tcPr>
          <w:p w:rsidR="001F41F8" w:rsidRPr="00D73A46" w:rsidRDefault="001F41F8" w:rsidP="00D73A46">
            <w:pPr>
              <w:pStyle w:val="BodyText"/>
              <w:rPr>
                <w:sz w:val="24"/>
                <w:lang w:val="en-GB"/>
              </w:rPr>
            </w:pPr>
            <w:r w:rsidRPr="00D73A46">
              <w:rPr>
                <w:sz w:val="24"/>
                <w:lang w:val="en-GB"/>
              </w:rPr>
              <w:t>349</w:t>
            </w:r>
          </w:p>
        </w:tc>
        <w:tc>
          <w:tcPr>
            <w:tcW w:w="1701" w:type="dxa"/>
          </w:tcPr>
          <w:p w:rsidR="001F41F8" w:rsidRPr="00D73A46" w:rsidRDefault="001F41F8" w:rsidP="00D73A46">
            <w:pPr>
              <w:pStyle w:val="BodyText"/>
              <w:rPr>
                <w:sz w:val="24"/>
                <w:lang w:val="en-GB"/>
              </w:rPr>
            </w:pPr>
            <w:r w:rsidRPr="00D73A46">
              <w:rPr>
                <w:sz w:val="24"/>
                <w:lang w:val="en-GB"/>
              </w:rPr>
              <w:t>216</w:t>
            </w:r>
          </w:p>
        </w:tc>
        <w:tc>
          <w:tcPr>
            <w:tcW w:w="1701" w:type="dxa"/>
          </w:tcPr>
          <w:p w:rsidR="001F41F8" w:rsidRPr="00D73A46" w:rsidRDefault="001F41F8" w:rsidP="00D73A46">
            <w:pPr>
              <w:pStyle w:val="BodyText"/>
              <w:rPr>
                <w:sz w:val="24"/>
                <w:lang w:val="en-GB"/>
              </w:rPr>
            </w:pPr>
            <w:r w:rsidRPr="00D73A46">
              <w:rPr>
                <w:sz w:val="24"/>
                <w:lang w:val="en-GB"/>
              </w:rPr>
              <w:t>61.89%</w:t>
            </w:r>
          </w:p>
        </w:tc>
      </w:tr>
      <w:tr w:rsidR="001F41F8" w:rsidRPr="00D73A46" w:rsidTr="00D73A46">
        <w:tc>
          <w:tcPr>
            <w:tcW w:w="1275" w:type="dxa"/>
          </w:tcPr>
          <w:p w:rsidR="001F41F8" w:rsidRPr="00D73A46" w:rsidRDefault="001F41F8" w:rsidP="00D73A46">
            <w:pPr>
              <w:pStyle w:val="BodyText"/>
              <w:rPr>
                <w:sz w:val="24"/>
                <w:lang w:val="en-GB"/>
              </w:rPr>
            </w:pPr>
            <w:r w:rsidRPr="00D73A46">
              <w:rPr>
                <w:sz w:val="24"/>
                <w:lang w:val="en-GB"/>
              </w:rPr>
              <w:t>dd</w:t>
            </w:r>
          </w:p>
        </w:tc>
        <w:tc>
          <w:tcPr>
            <w:tcW w:w="1418" w:type="dxa"/>
          </w:tcPr>
          <w:p w:rsidR="001F41F8" w:rsidRPr="00D73A46" w:rsidRDefault="001F41F8" w:rsidP="00D73A46">
            <w:pPr>
              <w:pStyle w:val="BodyText"/>
              <w:rPr>
                <w:sz w:val="24"/>
                <w:lang w:val="en-GB"/>
              </w:rPr>
            </w:pPr>
            <w:r w:rsidRPr="00D73A46">
              <w:rPr>
                <w:sz w:val="24"/>
                <w:lang w:val="en-GB"/>
              </w:rPr>
              <w:t>2013</w:t>
            </w:r>
          </w:p>
        </w:tc>
        <w:tc>
          <w:tcPr>
            <w:tcW w:w="1984" w:type="dxa"/>
          </w:tcPr>
          <w:p w:rsidR="001F41F8" w:rsidRPr="00D73A46" w:rsidRDefault="001F41F8" w:rsidP="00D73A46">
            <w:pPr>
              <w:pStyle w:val="BodyText"/>
              <w:rPr>
                <w:sz w:val="24"/>
                <w:lang w:val="en-GB"/>
              </w:rPr>
            </w:pPr>
            <w:r w:rsidRPr="00D73A46">
              <w:rPr>
                <w:sz w:val="24"/>
                <w:lang w:val="en-GB"/>
              </w:rPr>
              <w:t>527</w:t>
            </w:r>
          </w:p>
        </w:tc>
        <w:tc>
          <w:tcPr>
            <w:tcW w:w="1701" w:type="dxa"/>
          </w:tcPr>
          <w:p w:rsidR="001F41F8" w:rsidRPr="00D73A46" w:rsidRDefault="001F41F8" w:rsidP="00D73A46">
            <w:pPr>
              <w:pStyle w:val="BodyText"/>
              <w:rPr>
                <w:sz w:val="24"/>
                <w:lang w:val="en-GB"/>
              </w:rPr>
            </w:pPr>
            <w:r w:rsidRPr="00D73A46">
              <w:rPr>
                <w:sz w:val="24"/>
                <w:lang w:val="en-GB"/>
              </w:rPr>
              <w:t>275</w:t>
            </w:r>
          </w:p>
        </w:tc>
        <w:tc>
          <w:tcPr>
            <w:tcW w:w="1701" w:type="dxa"/>
          </w:tcPr>
          <w:p w:rsidR="001F41F8" w:rsidRPr="00D73A46" w:rsidRDefault="001F41F8" w:rsidP="00D73A46">
            <w:pPr>
              <w:pStyle w:val="BodyText"/>
              <w:rPr>
                <w:sz w:val="24"/>
                <w:lang w:val="en-GB"/>
              </w:rPr>
            </w:pPr>
            <w:r w:rsidRPr="00D73A46">
              <w:rPr>
                <w:sz w:val="24"/>
                <w:lang w:val="en-GB"/>
              </w:rPr>
              <w:t>52.18%</w:t>
            </w:r>
          </w:p>
        </w:tc>
      </w:tr>
      <w:tr w:rsidR="001F41F8" w:rsidRPr="00D73A46" w:rsidTr="00D73A46">
        <w:tc>
          <w:tcPr>
            <w:tcW w:w="1275" w:type="dxa"/>
          </w:tcPr>
          <w:p w:rsidR="001F41F8" w:rsidRPr="00D73A46" w:rsidRDefault="001F41F8" w:rsidP="00D73A46">
            <w:pPr>
              <w:pStyle w:val="BodyText"/>
              <w:rPr>
                <w:sz w:val="24"/>
                <w:lang w:val="en-GB"/>
              </w:rPr>
            </w:pPr>
            <w:r w:rsidRPr="00D73A46">
              <w:rPr>
                <w:sz w:val="24"/>
                <w:lang w:val="en-GB"/>
              </w:rPr>
              <w:t>ee</w:t>
            </w:r>
          </w:p>
        </w:tc>
        <w:tc>
          <w:tcPr>
            <w:tcW w:w="1418" w:type="dxa"/>
          </w:tcPr>
          <w:p w:rsidR="001F41F8" w:rsidRPr="00D73A46" w:rsidRDefault="001F41F8" w:rsidP="00D73A46">
            <w:pPr>
              <w:pStyle w:val="BodyText"/>
              <w:rPr>
                <w:sz w:val="24"/>
                <w:lang w:val="en-GB"/>
              </w:rPr>
            </w:pPr>
            <w:r w:rsidRPr="00D73A46">
              <w:rPr>
                <w:sz w:val="24"/>
                <w:lang w:val="en-GB"/>
              </w:rPr>
              <w:t>2014</w:t>
            </w:r>
          </w:p>
        </w:tc>
        <w:tc>
          <w:tcPr>
            <w:tcW w:w="1984" w:type="dxa"/>
          </w:tcPr>
          <w:p w:rsidR="001F41F8" w:rsidRPr="00D73A46" w:rsidRDefault="001F41F8" w:rsidP="00D73A46">
            <w:pPr>
              <w:pStyle w:val="BodyText"/>
              <w:rPr>
                <w:sz w:val="24"/>
                <w:lang w:val="en-GB"/>
              </w:rPr>
            </w:pPr>
            <w:r w:rsidRPr="00D73A46">
              <w:rPr>
                <w:sz w:val="24"/>
                <w:lang w:val="en-GB"/>
              </w:rPr>
              <w:t>541</w:t>
            </w:r>
          </w:p>
        </w:tc>
        <w:tc>
          <w:tcPr>
            <w:tcW w:w="1701" w:type="dxa"/>
          </w:tcPr>
          <w:p w:rsidR="001F41F8" w:rsidRPr="00D73A46" w:rsidRDefault="001F41F8" w:rsidP="00D73A46">
            <w:pPr>
              <w:pStyle w:val="BodyText"/>
              <w:rPr>
                <w:sz w:val="24"/>
                <w:lang w:val="en-GB"/>
              </w:rPr>
            </w:pPr>
            <w:r w:rsidRPr="00D73A46">
              <w:rPr>
                <w:sz w:val="24"/>
                <w:lang w:val="en-GB"/>
              </w:rPr>
              <w:t>412</w:t>
            </w:r>
          </w:p>
        </w:tc>
        <w:tc>
          <w:tcPr>
            <w:tcW w:w="1701" w:type="dxa"/>
          </w:tcPr>
          <w:p w:rsidR="001F41F8" w:rsidRPr="00D73A46" w:rsidRDefault="001F41F8" w:rsidP="00D73A46">
            <w:pPr>
              <w:pStyle w:val="BodyText"/>
              <w:rPr>
                <w:sz w:val="24"/>
                <w:lang w:val="en-GB"/>
              </w:rPr>
            </w:pPr>
            <w:r w:rsidRPr="00D73A46">
              <w:rPr>
                <w:sz w:val="24"/>
                <w:lang w:val="en-GB"/>
              </w:rPr>
              <w:t>76.16%</w:t>
            </w:r>
          </w:p>
        </w:tc>
      </w:tr>
      <w:tr w:rsidR="001F41F8" w:rsidRPr="00D73A46" w:rsidTr="00D73A46">
        <w:tc>
          <w:tcPr>
            <w:tcW w:w="1275" w:type="dxa"/>
          </w:tcPr>
          <w:p w:rsidR="001F41F8" w:rsidRPr="00D73A46" w:rsidRDefault="001F41F8" w:rsidP="00D73A46">
            <w:pPr>
              <w:pStyle w:val="BodyText"/>
              <w:rPr>
                <w:sz w:val="24"/>
                <w:lang w:val="en-GB"/>
              </w:rPr>
            </w:pPr>
            <w:r w:rsidRPr="00D73A46">
              <w:rPr>
                <w:sz w:val="24"/>
                <w:lang w:val="en-GB"/>
              </w:rPr>
              <w:t>ff</w:t>
            </w:r>
          </w:p>
        </w:tc>
        <w:tc>
          <w:tcPr>
            <w:tcW w:w="1418" w:type="dxa"/>
          </w:tcPr>
          <w:p w:rsidR="001F41F8" w:rsidRPr="00D73A46" w:rsidRDefault="001F41F8" w:rsidP="00D73A46">
            <w:pPr>
              <w:pStyle w:val="BodyText"/>
              <w:rPr>
                <w:sz w:val="24"/>
                <w:lang w:val="en-GB"/>
              </w:rPr>
            </w:pPr>
            <w:r w:rsidRPr="00D73A46">
              <w:rPr>
                <w:sz w:val="24"/>
                <w:lang w:val="en-GB"/>
              </w:rPr>
              <w:t>2015</w:t>
            </w:r>
          </w:p>
        </w:tc>
        <w:tc>
          <w:tcPr>
            <w:tcW w:w="1984" w:type="dxa"/>
          </w:tcPr>
          <w:p w:rsidR="001F41F8" w:rsidRPr="00D73A46" w:rsidRDefault="001F41F8" w:rsidP="00D73A46">
            <w:pPr>
              <w:pStyle w:val="BodyText"/>
              <w:rPr>
                <w:sz w:val="24"/>
                <w:lang w:val="en-GB"/>
              </w:rPr>
            </w:pPr>
            <w:r w:rsidRPr="00D73A46">
              <w:rPr>
                <w:sz w:val="24"/>
                <w:lang w:val="en-GB"/>
              </w:rPr>
              <w:t>383</w:t>
            </w:r>
          </w:p>
        </w:tc>
        <w:tc>
          <w:tcPr>
            <w:tcW w:w="1701" w:type="dxa"/>
          </w:tcPr>
          <w:p w:rsidR="001F41F8" w:rsidRPr="00D73A46" w:rsidRDefault="001F41F8" w:rsidP="00D73A46">
            <w:pPr>
              <w:pStyle w:val="BodyText"/>
              <w:rPr>
                <w:sz w:val="24"/>
                <w:lang w:val="en-GB"/>
              </w:rPr>
            </w:pPr>
            <w:r w:rsidRPr="00D73A46">
              <w:rPr>
                <w:sz w:val="24"/>
                <w:lang w:val="en-GB"/>
              </w:rPr>
              <w:t>336</w:t>
            </w:r>
          </w:p>
        </w:tc>
        <w:tc>
          <w:tcPr>
            <w:tcW w:w="1701" w:type="dxa"/>
          </w:tcPr>
          <w:p w:rsidR="001F41F8" w:rsidRPr="00D73A46" w:rsidRDefault="001F41F8" w:rsidP="00D73A46">
            <w:pPr>
              <w:pStyle w:val="BodyText"/>
              <w:rPr>
                <w:sz w:val="24"/>
                <w:lang w:val="en-GB"/>
              </w:rPr>
            </w:pPr>
            <w:r w:rsidRPr="00D73A46">
              <w:rPr>
                <w:sz w:val="24"/>
                <w:lang w:val="en-GB"/>
              </w:rPr>
              <w:t>87.73%</w:t>
            </w:r>
          </w:p>
        </w:tc>
      </w:tr>
      <w:tr w:rsidR="001F41F8" w:rsidRPr="00D73A46" w:rsidTr="00D73A46">
        <w:tc>
          <w:tcPr>
            <w:tcW w:w="1275" w:type="dxa"/>
          </w:tcPr>
          <w:p w:rsidR="001F41F8" w:rsidRPr="00D73A46" w:rsidRDefault="001F41F8" w:rsidP="00D73A46">
            <w:pPr>
              <w:pStyle w:val="BodyText"/>
              <w:rPr>
                <w:sz w:val="24"/>
                <w:lang w:val="en-GB"/>
              </w:rPr>
            </w:pPr>
          </w:p>
        </w:tc>
        <w:tc>
          <w:tcPr>
            <w:tcW w:w="1418" w:type="dxa"/>
          </w:tcPr>
          <w:p w:rsidR="001F41F8" w:rsidRPr="00D73A46" w:rsidRDefault="001F41F8" w:rsidP="00D73A46">
            <w:pPr>
              <w:pStyle w:val="BodyText"/>
              <w:rPr>
                <w:sz w:val="24"/>
                <w:lang w:val="en-GB"/>
              </w:rPr>
            </w:pPr>
            <w:r w:rsidRPr="00D73A46">
              <w:rPr>
                <w:sz w:val="24"/>
                <w:lang w:val="en-GB"/>
              </w:rPr>
              <w:t>2016</w:t>
            </w:r>
          </w:p>
        </w:tc>
        <w:tc>
          <w:tcPr>
            <w:tcW w:w="1984" w:type="dxa"/>
          </w:tcPr>
          <w:p w:rsidR="001F41F8" w:rsidRPr="00D73A46" w:rsidRDefault="001F41F8" w:rsidP="00D73A46">
            <w:pPr>
              <w:pStyle w:val="BodyText"/>
              <w:rPr>
                <w:sz w:val="24"/>
                <w:lang w:val="en-GB"/>
              </w:rPr>
            </w:pPr>
            <w:r w:rsidRPr="00D73A46">
              <w:rPr>
                <w:sz w:val="24"/>
                <w:lang w:val="en-GB"/>
              </w:rPr>
              <w:t>142</w:t>
            </w:r>
          </w:p>
        </w:tc>
        <w:tc>
          <w:tcPr>
            <w:tcW w:w="1701" w:type="dxa"/>
          </w:tcPr>
          <w:p w:rsidR="001F41F8" w:rsidRPr="00D73A46" w:rsidRDefault="001F41F8" w:rsidP="00D73A46">
            <w:pPr>
              <w:pStyle w:val="BodyText"/>
              <w:rPr>
                <w:sz w:val="24"/>
                <w:lang w:val="en-GB"/>
              </w:rPr>
            </w:pPr>
            <w:r w:rsidRPr="00D73A46">
              <w:rPr>
                <w:sz w:val="24"/>
                <w:lang w:val="en-GB"/>
              </w:rPr>
              <w:t>135</w:t>
            </w:r>
          </w:p>
        </w:tc>
        <w:tc>
          <w:tcPr>
            <w:tcW w:w="1701" w:type="dxa"/>
          </w:tcPr>
          <w:p w:rsidR="001F41F8" w:rsidRPr="00D73A46" w:rsidRDefault="001F41F8" w:rsidP="00D73A46">
            <w:pPr>
              <w:pStyle w:val="BodyText"/>
              <w:rPr>
                <w:sz w:val="24"/>
                <w:lang w:val="en-GB"/>
              </w:rPr>
            </w:pPr>
            <w:r w:rsidRPr="00D73A46">
              <w:rPr>
                <w:sz w:val="24"/>
                <w:lang w:val="en-GB"/>
              </w:rPr>
              <w:t>95.07%</w:t>
            </w:r>
          </w:p>
        </w:tc>
      </w:tr>
    </w:tbl>
    <w:p w:rsidR="001F41F8" w:rsidRPr="00D73A46" w:rsidRDefault="001F41F8" w:rsidP="00D73A46">
      <w:pPr>
        <w:pStyle w:val="BodyText"/>
        <w:rPr>
          <w:sz w:val="24"/>
          <w:lang w:val="en-GB"/>
        </w:rPr>
      </w:pPr>
      <w:r w:rsidRPr="00D73A46">
        <w:rPr>
          <w:sz w:val="24"/>
          <w:lang w:val="en-GB"/>
        </w:rPr>
        <w:tab/>
      </w:r>
    </w:p>
    <w:p w:rsidR="001F41F8" w:rsidRDefault="001F41F8" w:rsidP="00D73A46">
      <w:pPr>
        <w:pStyle w:val="BodyText"/>
        <w:rPr>
          <w:sz w:val="24"/>
          <w:lang w:val="en-GB"/>
        </w:rPr>
      </w:pPr>
      <w:r w:rsidRPr="00D73A46">
        <w:rPr>
          <w:sz w:val="24"/>
          <w:lang w:val="en-GB"/>
        </w:rPr>
        <w:tab/>
        <w:t>(c)</w:t>
      </w:r>
      <w:r>
        <w:rPr>
          <w:sz w:val="24"/>
          <w:lang w:val="en-GB"/>
        </w:rPr>
        <w:tab/>
      </w:r>
      <w:r w:rsidRPr="00D73A46">
        <w:rPr>
          <w:sz w:val="24"/>
          <w:lang w:val="en-GB"/>
        </w:rPr>
        <w:t>The reasons for unsuccessful applications are due to the following:</w:t>
      </w:r>
    </w:p>
    <w:p w:rsidR="001F41F8" w:rsidRPr="00D73A46" w:rsidRDefault="001F41F8" w:rsidP="00D73A46">
      <w:pPr>
        <w:pStyle w:val="BodyText"/>
        <w:rPr>
          <w:sz w:val="24"/>
          <w:lang w:val="en-GB"/>
        </w:rPr>
      </w:pPr>
    </w:p>
    <w:p w:rsidR="001F41F8" w:rsidRPr="00D73A46" w:rsidRDefault="001F41F8" w:rsidP="00D45BA5">
      <w:pPr>
        <w:pStyle w:val="BodyText"/>
        <w:numPr>
          <w:ilvl w:val="0"/>
          <w:numId w:val="39"/>
        </w:numPr>
        <w:spacing w:line="360" w:lineRule="auto"/>
        <w:ind w:left="2126" w:hanging="703"/>
        <w:rPr>
          <w:sz w:val="24"/>
          <w:lang w:val="en-GB"/>
        </w:rPr>
      </w:pPr>
      <w:r>
        <w:rPr>
          <w:sz w:val="24"/>
          <w:lang w:val="en-GB"/>
        </w:rPr>
        <w:t>C</w:t>
      </w:r>
      <w:r w:rsidRPr="00D73A46">
        <w:rPr>
          <w:sz w:val="24"/>
          <w:lang w:val="en-GB"/>
        </w:rPr>
        <w:t>urriculum not equivalent to the South African Education system</w:t>
      </w:r>
    </w:p>
    <w:p w:rsidR="001F41F8" w:rsidRPr="00D73A46" w:rsidRDefault="001F41F8" w:rsidP="00D45BA5">
      <w:pPr>
        <w:pStyle w:val="BodyText"/>
        <w:numPr>
          <w:ilvl w:val="0"/>
          <w:numId w:val="39"/>
        </w:numPr>
        <w:spacing w:line="360" w:lineRule="auto"/>
        <w:ind w:left="2126" w:hanging="703"/>
        <w:rPr>
          <w:sz w:val="24"/>
          <w:lang w:val="en-GB"/>
        </w:rPr>
      </w:pPr>
      <w:r>
        <w:rPr>
          <w:sz w:val="24"/>
          <w:lang w:val="en-GB"/>
        </w:rPr>
        <w:t>F</w:t>
      </w:r>
      <w:r w:rsidRPr="00D73A46">
        <w:rPr>
          <w:sz w:val="24"/>
          <w:lang w:val="en-GB"/>
        </w:rPr>
        <w:t>ailure to submit verified credentials</w:t>
      </w:r>
    </w:p>
    <w:p w:rsidR="001F41F8" w:rsidRPr="00D73A46" w:rsidRDefault="001F41F8" w:rsidP="00D45BA5">
      <w:pPr>
        <w:pStyle w:val="BodyText"/>
        <w:numPr>
          <w:ilvl w:val="0"/>
          <w:numId w:val="39"/>
        </w:numPr>
        <w:spacing w:line="360" w:lineRule="auto"/>
        <w:ind w:left="2126" w:hanging="703"/>
        <w:rPr>
          <w:sz w:val="24"/>
          <w:lang w:val="en-GB"/>
        </w:rPr>
      </w:pPr>
      <w:r>
        <w:rPr>
          <w:sz w:val="24"/>
          <w:lang w:val="en-GB"/>
        </w:rPr>
        <w:t>F</w:t>
      </w:r>
      <w:r w:rsidRPr="00D73A46">
        <w:rPr>
          <w:sz w:val="24"/>
          <w:lang w:val="en-GB"/>
        </w:rPr>
        <w:t xml:space="preserve">ailure to comply with DOH Foreign Workforce requirements, and, </w:t>
      </w:r>
    </w:p>
    <w:p w:rsidR="001F41F8" w:rsidRPr="00D73A46" w:rsidRDefault="001F41F8" w:rsidP="00D45BA5">
      <w:pPr>
        <w:pStyle w:val="BodyText"/>
        <w:numPr>
          <w:ilvl w:val="0"/>
          <w:numId w:val="39"/>
        </w:numPr>
        <w:spacing w:line="360" w:lineRule="auto"/>
        <w:ind w:left="2126" w:hanging="703"/>
        <w:rPr>
          <w:sz w:val="24"/>
          <w:lang w:val="en-GB"/>
        </w:rPr>
      </w:pPr>
      <w:r>
        <w:rPr>
          <w:sz w:val="24"/>
          <w:lang w:val="en-GB"/>
        </w:rPr>
        <w:t>I</w:t>
      </w:r>
      <w:r w:rsidRPr="00D73A46">
        <w:rPr>
          <w:sz w:val="24"/>
          <w:lang w:val="en-GB"/>
        </w:rPr>
        <w:t>ncomplete documents</w:t>
      </w:r>
    </w:p>
    <w:p w:rsidR="001F41F8" w:rsidRPr="00D73A46" w:rsidRDefault="001F41F8" w:rsidP="00D73A46">
      <w:pPr>
        <w:pStyle w:val="BodyText"/>
        <w:rPr>
          <w:sz w:val="24"/>
          <w:lang w:val="en-GB"/>
        </w:rPr>
      </w:pPr>
    </w:p>
    <w:p w:rsidR="001F41F8" w:rsidRDefault="001F41F8" w:rsidP="00D73A46">
      <w:pPr>
        <w:pStyle w:val="BodyText"/>
        <w:tabs>
          <w:tab w:val="left" w:pos="709"/>
        </w:tabs>
        <w:ind w:left="2127" w:hanging="2127"/>
        <w:rPr>
          <w:sz w:val="24"/>
          <w:lang w:val="en-GB"/>
        </w:rPr>
      </w:pPr>
      <w:r>
        <w:rPr>
          <w:sz w:val="24"/>
          <w:lang w:val="en-GB"/>
        </w:rPr>
        <w:t>(</w:t>
      </w:r>
      <w:r w:rsidRPr="00D73A46">
        <w:rPr>
          <w:sz w:val="24"/>
          <w:lang w:val="en-GB"/>
        </w:rPr>
        <w:t>2)</w:t>
      </w:r>
      <w:r w:rsidRPr="00D73A46">
        <w:rPr>
          <w:sz w:val="24"/>
          <w:lang w:val="en-GB"/>
        </w:rPr>
        <w:tab/>
        <w:t xml:space="preserve">(a) </w:t>
      </w:r>
      <w:r>
        <w:rPr>
          <w:sz w:val="24"/>
          <w:lang w:val="en-GB"/>
        </w:rPr>
        <w:t xml:space="preserve">and </w:t>
      </w:r>
      <w:r w:rsidRPr="00D73A46">
        <w:rPr>
          <w:sz w:val="24"/>
          <w:lang w:val="en-GB"/>
        </w:rPr>
        <w:t xml:space="preserve">(b) </w:t>
      </w:r>
      <w:r>
        <w:rPr>
          <w:sz w:val="24"/>
          <w:lang w:val="en-GB"/>
        </w:rPr>
        <w:tab/>
      </w:r>
      <w:r w:rsidRPr="00D73A46">
        <w:rPr>
          <w:sz w:val="24"/>
          <w:lang w:val="en-GB"/>
        </w:rPr>
        <w:t xml:space="preserve">Yes, there is a target processing time of six weeks. The specified </w:t>
      </w:r>
      <w:r w:rsidRPr="00D73A46">
        <w:rPr>
          <w:sz w:val="24"/>
          <w:lang w:val="en-GB"/>
        </w:rPr>
        <w:tab/>
        <w:t xml:space="preserve">period entail assessment of applications for regulatory compliance, </w:t>
      </w:r>
      <w:r w:rsidRPr="00D73A46">
        <w:rPr>
          <w:sz w:val="24"/>
          <w:lang w:val="en-GB"/>
        </w:rPr>
        <w:tab/>
        <w:t xml:space="preserve">administrative compliance and submission to the relevant committee for consideration. Upon approval of the application, it takes 21 days to finalise </w:t>
      </w:r>
      <w:r w:rsidRPr="00D73A46">
        <w:rPr>
          <w:sz w:val="24"/>
          <w:lang w:val="en-GB"/>
        </w:rPr>
        <w:tab/>
        <w:t xml:space="preserve">applications for registration. </w:t>
      </w:r>
    </w:p>
    <w:p w:rsidR="001F41F8" w:rsidRPr="00D73A46" w:rsidRDefault="001F41F8" w:rsidP="00D73A46">
      <w:pPr>
        <w:pStyle w:val="BodyText"/>
        <w:tabs>
          <w:tab w:val="left" w:pos="709"/>
        </w:tabs>
        <w:ind w:left="2127" w:hanging="2127"/>
        <w:rPr>
          <w:sz w:val="24"/>
          <w:lang w:val="en-GB"/>
        </w:rPr>
      </w:pPr>
    </w:p>
    <w:p w:rsidR="001F41F8" w:rsidRDefault="001F41F8" w:rsidP="00D73A46">
      <w:pPr>
        <w:pStyle w:val="BodyText"/>
        <w:rPr>
          <w:sz w:val="24"/>
          <w:lang w:val="en-GB"/>
        </w:rPr>
      </w:pPr>
      <w:r w:rsidRPr="00D73A46">
        <w:rPr>
          <w:sz w:val="24"/>
          <w:lang w:val="en-GB"/>
        </w:rPr>
        <w:tab/>
        <w:t xml:space="preserve">(c) </w:t>
      </w:r>
      <w:r>
        <w:rPr>
          <w:sz w:val="24"/>
          <w:lang w:val="en-GB"/>
        </w:rPr>
        <w:tab/>
      </w:r>
      <w:r w:rsidRPr="00D73A46">
        <w:rPr>
          <w:sz w:val="24"/>
          <w:lang w:val="en-GB"/>
        </w:rPr>
        <w:t>The delays are influenced by the following:</w:t>
      </w:r>
    </w:p>
    <w:p w:rsidR="001F41F8" w:rsidRPr="00D73A46" w:rsidRDefault="001F41F8" w:rsidP="00D73A46">
      <w:pPr>
        <w:pStyle w:val="BodyText"/>
        <w:rPr>
          <w:sz w:val="24"/>
          <w:lang w:val="en-GB"/>
        </w:rPr>
      </w:pPr>
      <w:r w:rsidRPr="00D73A46">
        <w:rPr>
          <w:sz w:val="24"/>
          <w:lang w:val="en-GB"/>
        </w:rPr>
        <w:t xml:space="preserve"> </w:t>
      </w:r>
    </w:p>
    <w:p w:rsidR="001F41F8" w:rsidRPr="00D73A46" w:rsidRDefault="001F41F8" w:rsidP="00D223AF">
      <w:pPr>
        <w:pStyle w:val="BodyText"/>
        <w:numPr>
          <w:ilvl w:val="0"/>
          <w:numId w:val="40"/>
        </w:numPr>
        <w:spacing w:line="360" w:lineRule="auto"/>
        <w:ind w:left="2126" w:hanging="686"/>
        <w:rPr>
          <w:sz w:val="24"/>
          <w:lang w:val="en-GB"/>
        </w:rPr>
      </w:pPr>
      <w:r>
        <w:rPr>
          <w:sz w:val="24"/>
          <w:lang w:val="en-GB"/>
        </w:rPr>
        <w:t>C</w:t>
      </w:r>
      <w:r w:rsidRPr="00D73A46">
        <w:rPr>
          <w:sz w:val="24"/>
          <w:lang w:val="en-GB"/>
        </w:rPr>
        <w:t>urriculum not equivalent to the South African Education system</w:t>
      </w:r>
    </w:p>
    <w:p w:rsidR="001F41F8" w:rsidRPr="00D73A46" w:rsidRDefault="001F41F8" w:rsidP="00D223AF">
      <w:pPr>
        <w:pStyle w:val="BodyText"/>
        <w:numPr>
          <w:ilvl w:val="0"/>
          <w:numId w:val="40"/>
        </w:numPr>
        <w:spacing w:line="360" w:lineRule="auto"/>
        <w:ind w:left="2126" w:hanging="686"/>
        <w:rPr>
          <w:sz w:val="24"/>
          <w:lang w:val="en-GB"/>
        </w:rPr>
      </w:pPr>
      <w:r>
        <w:rPr>
          <w:sz w:val="24"/>
          <w:lang w:val="en-GB"/>
        </w:rPr>
        <w:t>F</w:t>
      </w:r>
      <w:r w:rsidRPr="00D73A46">
        <w:rPr>
          <w:sz w:val="24"/>
          <w:lang w:val="en-GB"/>
        </w:rPr>
        <w:t>ailure to submit verified credentials</w:t>
      </w:r>
    </w:p>
    <w:p w:rsidR="001F41F8" w:rsidRPr="00D73A46" w:rsidRDefault="001F41F8" w:rsidP="00D223AF">
      <w:pPr>
        <w:pStyle w:val="BodyText"/>
        <w:numPr>
          <w:ilvl w:val="0"/>
          <w:numId w:val="40"/>
        </w:numPr>
        <w:spacing w:line="360" w:lineRule="auto"/>
        <w:ind w:left="2126" w:hanging="686"/>
        <w:rPr>
          <w:sz w:val="24"/>
          <w:lang w:val="en-GB"/>
        </w:rPr>
      </w:pPr>
      <w:r>
        <w:rPr>
          <w:sz w:val="24"/>
          <w:lang w:val="en-GB"/>
        </w:rPr>
        <w:t>F</w:t>
      </w:r>
      <w:r w:rsidRPr="00D73A46">
        <w:rPr>
          <w:sz w:val="24"/>
          <w:lang w:val="en-GB"/>
        </w:rPr>
        <w:t xml:space="preserve">ailure to comply with DOH Foreign Workforce requirements, and, </w:t>
      </w:r>
    </w:p>
    <w:p w:rsidR="001F41F8" w:rsidRDefault="001F41F8" w:rsidP="00D223AF">
      <w:pPr>
        <w:pStyle w:val="BodyText"/>
        <w:numPr>
          <w:ilvl w:val="0"/>
          <w:numId w:val="40"/>
        </w:numPr>
        <w:spacing w:line="360" w:lineRule="auto"/>
        <w:ind w:left="2126" w:hanging="686"/>
        <w:rPr>
          <w:sz w:val="24"/>
          <w:lang w:val="en-GB"/>
        </w:rPr>
      </w:pPr>
      <w:r>
        <w:rPr>
          <w:sz w:val="24"/>
          <w:lang w:val="en-GB"/>
        </w:rPr>
        <w:t>I</w:t>
      </w:r>
      <w:r w:rsidRPr="00D73A46">
        <w:rPr>
          <w:sz w:val="24"/>
          <w:lang w:val="en-GB"/>
        </w:rPr>
        <w:t>ncomplete documents</w:t>
      </w:r>
    </w:p>
    <w:p w:rsidR="001F41F8" w:rsidRPr="00D73A46" w:rsidRDefault="001F41F8" w:rsidP="00D73A46">
      <w:pPr>
        <w:pStyle w:val="BodyText"/>
        <w:ind w:left="1440"/>
        <w:rPr>
          <w:sz w:val="24"/>
          <w:lang w:val="en-GB"/>
        </w:rPr>
      </w:pPr>
    </w:p>
    <w:p w:rsidR="001F41F8" w:rsidRPr="00D73A46" w:rsidRDefault="001F41F8" w:rsidP="00D73A46">
      <w:pPr>
        <w:pStyle w:val="BodyText"/>
        <w:ind w:left="1440" w:hanging="720"/>
        <w:rPr>
          <w:sz w:val="24"/>
          <w:lang w:val="en-GB"/>
        </w:rPr>
      </w:pPr>
      <w:r w:rsidRPr="00D73A46">
        <w:rPr>
          <w:sz w:val="24"/>
          <w:lang w:val="en-GB"/>
        </w:rPr>
        <w:t xml:space="preserve">(d) </w:t>
      </w:r>
      <w:r>
        <w:rPr>
          <w:sz w:val="24"/>
          <w:lang w:val="en-GB"/>
        </w:rPr>
        <w:tab/>
      </w:r>
      <w:r w:rsidRPr="00D73A46">
        <w:rPr>
          <w:sz w:val="24"/>
          <w:lang w:val="en-GB"/>
        </w:rPr>
        <w:t xml:space="preserve">The process of reviewing and considering applications from foreign </w:t>
      </w:r>
      <w:r w:rsidRPr="00D73A46">
        <w:rPr>
          <w:sz w:val="24"/>
          <w:lang w:val="en-GB"/>
        </w:rPr>
        <w:tab/>
        <w:t xml:space="preserve">qualified practitioners is being reviewed with the aim of eliminating the delays. </w:t>
      </w:r>
    </w:p>
    <w:p w:rsidR="001F41F8" w:rsidRPr="00D73A46" w:rsidRDefault="001F41F8" w:rsidP="00D73A46">
      <w:pPr>
        <w:pStyle w:val="BodyText"/>
        <w:rPr>
          <w:sz w:val="24"/>
          <w:lang w:val="en-GB"/>
        </w:rPr>
      </w:pPr>
    </w:p>
    <w:p w:rsidR="001F41F8" w:rsidRDefault="001F41F8" w:rsidP="005E7BF6">
      <w:pPr>
        <w:pStyle w:val="BodyText"/>
        <w:rPr>
          <w:sz w:val="24"/>
          <w:lang w:val="en-GB"/>
        </w:rPr>
      </w:pPr>
    </w:p>
    <w:p w:rsidR="001F41F8" w:rsidRPr="005E7BF6" w:rsidRDefault="001F41F8" w:rsidP="005E7BF6">
      <w:pPr>
        <w:pStyle w:val="BodyText"/>
        <w:rPr>
          <w:b/>
          <w:bCs/>
          <w:sz w:val="24"/>
          <w:lang w:val="en-GB"/>
        </w:rPr>
      </w:pPr>
      <w:r w:rsidRPr="005E7BF6">
        <w:rPr>
          <w:sz w:val="24"/>
          <w:lang w:val="en-GB"/>
        </w:rPr>
        <w:t>END.</w:t>
      </w:r>
    </w:p>
    <w:sectPr w:rsidR="001F41F8"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F8" w:rsidRDefault="001F41F8">
      <w:r>
        <w:separator/>
      </w:r>
    </w:p>
  </w:endnote>
  <w:endnote w:type="continuationSeparator" w:id="0">
    <w:p w:rsidR="001F41F8" w:rsidRDefault="001F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F8" w:rsidRDefault="001F41F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F41F8" w:rsidRDefault="001F4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F8" w:rsidRDefault="001F41F8">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1F41F8" w:rsidRDefault="001F4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F8" w:rsidRDefault="001F41F8">
      <w:r>
        <w:separator/>
      </w:r>
    </w:p>
  </w:footnote>
  <w:footnote w:type="continuationSeparator" w:id="0">
    <w:p w:rsidR="001F41F8" w:rsidRDefault="001F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4F42052"/>
    <w:multiLevelType w:val="hybridMultilevel"/>
    <w:tmpl w:val="65560644"/>
    <w:lvl w:ilvl="0" w:tplc="27066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8">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E710D"/>
    <w:multiLevelType w:val="hybridMultilevel"/>
    <w:tmpl w:val="B85AD6C2"/>
    <w:lvl w:ilvl="0" w:tplc="1C090003">
      <w:start w:val="1"/>
      <w:numFmt w:val="bullet"/>
      <w:lvlText w:val="o"/>
      <w:lvlJc w:val="left"/>
      <w:pPr>
        <w:ind w:left="1800" w:hanging="360"/>
      </w:pPr>
      <w:rPr>
        <w:rFonts w:ascii="Courier New" w:hAnsi="Courier New"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6">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4"/>
  </w:num>
  <w:num w:numId="6">
    <w:abstractNumId w:val="26"/>
  </w:num>
  <w:num w:numId="7">
    <w:abstractNumId w:val="20"/>
  </w:num>
  <w:num w:numId="8">
    <w:abstractNumId w:val="10"/>
  </w:num>
  <w:num w:numId="9">
    <w:abstractNumId w:val="4"/>
  </w:num>
  <w:num w:numId="10">
    <w:abstractNumId w:val="19"/>
  </w:num>
  <w:num w:numId="11">
    <w:abstractNumId w:val="33"/>
  </w:num>
  <w:num w:numId="12">
    <w:abstractNumId w:val="2"/>
  </w:num>
  <w:num w:numId="13">
    <w:abstractNumId w:val="34"/>
  </w:num>
  <w:num w:numId="14">
    <w:abstractNumId w:val="25"/>
  </w:num>
  <w:num w:numId="15">
    <w:abstractNumId w:val="6"/>
  </w:num>
  <w:num w:numId="16">
    <w:abstractNumId w:val="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30"/>
  </w:num>
  <w:num w:numId="26">
    <w:abstractNumId w:val="16"/>
  </w:num>
  <w:num w:numId="27">
    <w:abstractNumId w:val="35"/>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7"/>
  </w:num>
  <w:num w:numId="33">
    <w:abstractNumId w:val="12"/>
  </w:num>
  <w:num w:numId="34">
    <w:abstractNumId w:val="14"/>
  </w:num>
  <w:num w:numId="35">
    <w:abstractNumId w:val="32"/>
  </w:num>
  <w:num w:numId="36">
    <w:abstractNumId w:val="5"/>
  </w:num>
  <w:num w:numId="37">
    <w:abstractNumId w:val="22"/>
  </w:num>
  <w:num w:numId="38">
    <w:abstractNumId w:val="13"/>
  </w:num>
  <w:num w:numId="39">
    <w:abstractNumId w:val="3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25DC9"/>
    <w:rsid w:val="0004183B"/>
    <w:rsid w:val="00056AD2"/>
    <w:rsid w:val="00067DAB"/>
    <w:rsid w:val="00072404"/>
    <w:rsid w:val="0007341B"/>
    <w:rsid w:val="00081C7A"/>
    <w:rsid w:val="0008767D"/>
    <w:rsid w:val="000960D7"/>
    <w:rsid w:val="000A20B0"/>
    <w:rsid w:val="000B4AB8"/>
    <w:rsid w:val="000F059B"/>
    <w:rsid w:val="000F3BF5"/>
    <w:rsid w:val="000F50B5"/>
    <w:rsid w:val="00103056"/>
    <w:rsid w:val="00103544"/>
    <w:rsid w:val="0011153B"/>
    <w:rsid w:val="001126D2"/>
    <w:rsid w:val="00134634"/>
    <w:rsid w:val="00150F90"/>
    <w:rsid w:val="00160BDE"/>
    <w:rsid w:val="001651E2"/>
    <w:rsid w:val="00186E43"/>
    <w:rsid w:val="001A5759"/>
    <w:rsid w:val="001B62F5"/>
    <w:rsid w:val="001B67CA"/>
    <w:rsid w:val="001C0252"/>
    <w:rsid w:val="001C2FB1"/>
    <w:rsid w:val="001C433A"/>
    <w:rsid w:val="001C4B60"/>
    <w:rsid w:val="001D2E01"/>
    <w:rsid w:val="001E53FE"/>
    <w:rsid w:val="001E6713"/>
    <w:rsid w:val="001E7247"/>
    <w:rsid w:val="001F41F8"/>
    <w:rsid w:val="00202CF5"/>
    <w:rsid w:val="002242A9"/>
    <w:rsid w:val="00233C3B"/>
    <w:rsid w:val="0024216E"/>
    <w:rsid w:val="00267FDF"/>
    <w:rsid w:val="00271665"/>
    <w:rsid w:val="002A0E7D"/>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5F1D81"/>
    <w:rsid w:val="00610BC7"/>
    <w:rsid w:val="006175C7"/>
    <w:rsid w:val="00623E12"/>
    <w:rsid w:val="00635745"/>
    <w:rsid w:val="00635890"/>
    <w:rsid w:val="00637291"/>
    <w:rsid w:val="0063794C"/>
    <w:rsid w:val="00646F50"/>
    <w:rsid w:val="006664AE"/>
    <w:rsid w:val="006779D4"/>
    <w:rsid w:val="00683343"/>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41FC8"/>
    <w:rsid w:val="00A42F9C"/>
    <w:rsid w:val="00A431D7"/>
    <w:rsid w:val="00A51CEC"/>
    <w:rsid w:val="00A6048F"/>
    <w:rsid w:val="00A7509E"/>
    <w:rsid w:val="00A80F10"/>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342C2"/>
    <w:rsid w:val="00C41194"/>
    <w:rsid w:val="00C461AD"/>
    <w:rsid w:val="00C50944"/>
    <w:rsid w:val="00C52573"/>
    <w:rsid w:val="00C61949"/>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223AF"/>
    <w:rsid w:val="00D23E84"/>
    <w:rsid w:val="00D45BA5"/>
    <w:rsid w:val="00D50BCC"/>
    <w:rsid w:val="00D5344B"/>
    <w:rsid w:val="00D5360E"/>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42B3"/>
    <w:rsid w:val="00FD4DF4"/>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6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1A0A6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1A0A6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1A0A6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1A0A6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1A0A6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1A0A6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1A0A6E"/>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1A0A6E"/>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1A0A6E"/>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1A0A6E"/>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1A0A6E"/>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1A0A6E"/>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1A0A6E"/>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1A0A6E"/>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1A0A6E"/>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432508065">
      <w:marLeft w:val="0"/>
      <w:marRight w:val="0"/>
      <w:marTop w:val="0"/>
      <w:marBottom w:val="0"/>
      <w:divBdr>
        <w:top w:val="none" w:sz="0" w:space="0" w:color="auto"/>
        <w:left w:val="none" w:sz="0" w:space="0" w:color="auto"/>
        <w:bottom w:val="none" w:sz="0" w:space="0" w:color="auto"/>
        <w:right w:val="none" w:sz="0" w:space="0" w:color="auto"/>
      </w:divBdr>
    </w:div>
    <w:div w:id="1432508066">
      <w:marLeft w:val="0"/>
      <w:marRight w:val="0"/>
      <w:marTop w:val="0"/>
      <w:marBottom w:val="0"/>
      <w:divBdr>
        <w:top w:val="none" w:sz="0" w:space="0" w:color="auto"/>
        <w:left w:val="none" w:sz="0" w:space="0" w:color="auto"/>
        <w:bottom w:val="none" w:sz="0" w:space="0" w:color="auto"/>
        <w:right w:val="none" w:sz="0" w:space="0" w:color="auto"/>
      </w:divBdr>
    </w:div>
    <w:div w:id="1432508067">
      <w:marLeft w:val="0"/>
      <w:marRight w:val="0"/>
      <w:marTop w:val="0"/>
      <w:marBottom w:val="0"/>
      <w:divBdr>
        <w:top w:val="none" w:sz="0" w:space="0" w:color="auto"/>
        <w:left w:val="none" w:sz="0" w:space="0" w:color="auto"/>
        <w:bottom w:val="none" w:sz="0" w:space="0" w:color="auto"/>
        <w:right w:val="none" w:sz="0" w:space="0" w:color="auto"/>
      </w:divBdr>
    </w:div>
    <w:div w:id="1432508068">
      <w:marLeft w:val="0"/>
      <w:marRight w:val="0"/>
      <w:marTop w:val="0"/>
      <w:marBottom w:val="0"/>
      <w:divBdr>
        <w:top w:val="none" w:sz="0" w:space="0" w:color="auto"/>
        <w:left w:val="none" w:sz="0" w:space="0" w:color="auto"/>
        <w:bottom w:val="none" w:sz="0" w:space="0" w:color="auto"/>
        <w:right w:val="none" w:sz="0" w:space="0" w:color="auto"/>
      </w:divBdr>
    </w:div>
    <w:div w:id="1432508069">
      <w:marLeft w:val="0"/>
      <w:marRight w:val="0"/>
      <w:marTop w:val="0"/>
      <w:marBottom w:val="0"/>
      <w:divBdr>
        <w:top w:val="none" w:sz="0" w:space="0" w:color="auto"/>
        <w:left w:val="none" w:sz="0" w:space="0" w:color="auto"/>
        <w:bottom w:val="none" w:sz="0" w:space="0" w:color="auto"/>
        <w:right w:val="none" w:sz="0" w:space="0" w:color="auto"/>
      </w:divBdr>
    </w:div>
    <w:div w:id="1432508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369</Words>
  <Characters>2109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2016-04-14T09:15:00Z</cp:lastPrinted>
  <dcterms:created xsi:type="dcterms:W3CDTF">2016-05-10T10:52:00Z</dcterms:created>
  <dcterms:modified xsi:type="dcterms:W3CDTF">2016-05-10T10:52:00Z</dcterms:modified>
</cp:coreProperties>
</file>