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BE18ED"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BE18ED">
        <w:rPr>
          <w:rFonts w:ascii="Arial" w:hAnsi="Arial" w:cs="Arial"/>
          <w:b/>
          <w:sz w:val="22"/>
          <w:szCs w:val="22"/>
        </w:rPr>
        <w:t>NATIONAL ASSEMBLY</w:t>
      </w:r>
    </w:p>
    <w:p w:rsidR="00C312EA" w:rsidRPr="00BE18ED" w:rsidRDefault="00C312EA" w:rsidP="001B0917">
      <w:pPr>
        <w:tabs>
          <w:tab w:val="left" w:pos="432"/>
          <w:tab w:val="left" w:pos="864"/>
        </w:tabs>
        <w:spacing w:line="276" w:lineRule="auto"/>
        <w:jc w:val="center"/>
        <w:rPr>
          <w:rFonts w:ascii="Arial" w:hAnsi="Arial" w:cs="Arial"/>
          <w:b/>
          <w:sz w:val="22"/>
          <w:szCs w:val="22"/>
        </w:rPr>
      </w:pPr>
      <w:r w:rsidRPr="00BE18ED">
        <w:rPr>
          <w:rFonts w:ascii="Arial" w:hAnsi="Arial" w:cs="Arial"/>
          <w:b/>
          <w:sz w:val="22"/>
          <w:szCs w:val="22"/>
        </w:rPr>
        <w:t>QUESTION FOR WRITTEN REPLY</w:t>
      </w:r>
    </w:p>
    <w:p w:rsidR="00AD00CE" w:rsidRPr="00BE18ED" w:rsidRDefault="00647EF2" w:rsidP="001B0917">
      <w:pPr>
        <w:tabs>
          <w:tab w:val="left" w:pos="432"/>
          <w:tab w:val="left" w:pos="864"/>
        </w:tabs>
        <w:spacing w:line="276" w:lineRule="auto"/>
        <w:jc w:val="center"/>
        <w:rPr>
          <w:rFonts w:ascii="Arial" w:hAnsi="Arial" w:cs="Arial"/>
          <w:b/>
          <w:sz w:val="22"/>
          <w:szCs w:val="22"/>
        </w:rPr>
      </w:pPr>
      <w:r w:rsidRPr="00BE18ED">
        <w:rPr>
          <w:rFonts w:ascii="Arial" w:hAnsi="Arial" w:cs="Arial"/>
          <w:b/>
          <w:sz w:val="22"/>
          <w:szCs w:val="22"/>
        </w:rPr>
        <w:t>QUESTION NUMBER</w:t>
      </w:r>
      <w:r w:rsidR="001B0917" w:rsidRPr="00BE18ED">
        <w:rPr>
          <w:rFonts w:ascii="Arial" w:hAnsi="Arial" w:cs="Arial"/>
          <w:b/>
          <w:sz w:val="22"/>
          <w:szCs w:val="22"/>
        </w:rPr>
        <w:t>:</w:t>
      </w:r>
      <w:r w:rsidRPr="00BE18ED">
        <w:rPr>
          <w:rFonts w:ascii="Arial" w:hAnsi="Arial" w:cs="Arial"/>
          <w:b/>
          <w:sz w:val="22"/>
          <w:szCs w:val="22"/>
        </w:rPr>
        <w:t xml:space="preserve"> </w:t>
      </w:r>
      <w:r w:rsidR="00983677" w:rsidRPr="00BE18ED">
        <w:rPr>
          <w:rFonts w:ascii="Arial" w:hAnsi="Arial" w:cs="Arial"/>
          <w:b/>
          <w:sz w:val="22"/>
          <w:szCs w:val="22"/>
        </w:rPr>
        <w:t>1177</w:t>
      </w:r>
      <w:r w:rsidR="00AD00CE" w:rsidRPr="00BE18ED">
        <w:rPr>
          <w:rFonts w:ascii="Arial" w:hAnsi="Arial" w:cs="Arial"/>
          <w:b/>
          <w:sz w:val="22"/>
          <w:szCs w:val="22"/>
        </w:rPr>
        <w:t xml:space="preserve"> [NW</w:t>
      </w:r>
      <w:r w:rsidR="00983677" w:rsidRPr="00BE18ED">
        <w:rPr>
          <w:rFonts w:ascii="Arial" w:hAnsi="Arial" w:cs="Arial"/>
          <w:b/>
          <w:sz w:val="22"/>
          <w:szCs w:val="22"/>
        </w:rPr>
        <w:t>1316</w:t>
      </w:r>
      <w:r w:rsidR="00AD00CE" w:rsidRPr="00BE18ED">
        <w:rPr>
          <w:rFonts w:ascii="Arial" w:hAnsi="Arial" w:cs="Arial"/>
          <w:b/>
          <w:sz w:val="22"/>
          <w:szCs w:val="22"/>
        </w:rPr>
        <w:t>E]</w:t>
      </w:r>
    </w:p>
    <w:p w:rsidR="00C312EA" w:rsidRPr="00BE18ED" w:rsidRDefault="00BD31C6" w:rsidP="001B0917">
      <w:pPr>
        <w:tabs>
          <w:tab w:val="left" w:pos="432"/>
          <w:tab w:val="left" w:pos="864"/>
        </w:tabs>
        <w:spacing w:line="276" w:lineRule="auto"/>
        <w:jc w:val="center"/>
        <w:rPr>
          <w:rFonts w:ascii="Arial" w:hAnsi="Arial" w:cs="Arial"/>
          <w:b/>
          <w:sz w:val="22"/>
          <w:szCs w:val="22"/>
        </w:rPr>
      </w:pPr>
      <w:r w:rsidRPr="00BE18ED">
        <w:rPr>
          <w:rFonts w:ascii="Arial" w:hAnsi="Arial" w:cs="Arial"/>
          <w:b/>
          <w:sz w:val="22"/>
          <w:szCs w:val="22"/>
        </w:rPr>
        <w:t xml:space="preserve">DATE OF PUBLICATION: </w:t>
      </w:r>
      <w:r w:rsidR="00983677" w:rsidRPr="00BE18ED">
        <w:rPr>
          <w:rFonts w:ascii="Arial" w:hAnsi="Arial" w:cs="Arial"/>
          <w:b/>
          <w:sz w:val="22"/>
          <w:szCs w:val="22"/>
        </w:rPr>
        <w:t>22 APRIL 2016</w:t>
      </w:r>
    </w:p>
    <w:p w:rsidR="00983677" w:rsidRPr="00BE18ED" w:rsidRDefault="00983677" w:rsidP="00983677">
      <w:pPr>
        <w:spacing w:before="100" w:beforeAutospacing="1" w:after="100" w:afterAutospacing="1" w:line="276" w:lineRule="auto"/>
        <w:ind w:left="851" w:hanging="851"/>
        <w:jc w:val="both"/>
        <w:outlineLvl w:val="0"/>
        <w:rPr>
          <w:rFonts w:ascii="Arial" w:eastAsia="Calibri" w:hAnsi="Arial" w:cs="Arial"/>
          <w:b/>
          <w:sz w:val="22"/>
          <w:szCs w:val="22"/>
        </w:rPr>
      </w:pPr>
      <w:r w:rsidRPr="00BE18ED">
        <w:rPr>
          <w:rFonts w:ascii="Arial" w:eastAsia="Calibri" w:hAnsi="Arial" w:cs="Arial"/>
          <w:b/>
          <w:sz w:val="22"/>
          <w:szCs w:val="22"/>
        </w:rPr>
        <w:t>1177.</w:t>
      </w:r>
      <w:r w:rsidRPr="00BE18ED">
        <w:rPr>
          <w:rFonts w:ascii="Arial" w:eastAsia="Calibri" w:hAnsi="Arial" w:cs="Arial"/>
          <w:b/>
          <w:sz w:val="22"/>
          <w:szCs w:val="22"/>
        </w:rPr>
        <w:tab/>
        <w:t xml:space="preserve">Dr H C </w:t>
      </w:r>
      <w:proofErr w:type="spellStart"/>
      <w:r w:rsidRPr="00BE18ED">
        <w:rPr>
          <w:rFonts w:ascii="Arial" w:eastAsia="Calibri" w:hAnsi="Arial" w:cs="Arial"/>
          <w:b/>
          <w:sz w:val="22"/>
          <w:szCs w:val="22"/>
        </w:rPr>
        <w:t>Volmink</w:t>
      </w:r>
      <w:proofErr w:type="spellEnd"/>
      <w:r w:rsidRPr="00BE18ED">
        <w:rPr>
          <w:rFonts w:ascii="Arial" w:eastAsia="Calibri" w:hAnsi="Arial" w:cs="Arial"/>
          <w:b/>
          <w:sz w:val="22"/>
          <w:szCs w:val="22"/>
        </w:rPr>
        <w:t xml:space="preserve"> (DA) to ask the Minister of Finance:</w:t>
      </w:r>
    </w:p>
    <w:p w:rsidR="00983677" w:rsidRPr="00BE18ED" w:rsidRDefault="00983677" w:rsidP="00983677">
      <w:pPr>
        <w:spacing w:before="100" w:beforeAutospacing="1" w:after="100" w:afterAutospacing="1" w:line="276" w:lineRule="auto"/>
        <w:ind w:left="851"/>
        <w:jc w:val="both"/>
        <w:outlineLvl w:val="0"/>
        <w:rPr>
          <w:rFonts w:ascii="Arial" w:eastAsia="Calibri" w:hAnsi="Arial" w:cs="Arial"/>
          <w:sz w:val="22"/>
          <w:szCs w:val="22"/>
        </w:rPr>
      </w:pPr>
      <w:r w:rsidRPr="00BE18ED">
        <w:rPr>
          <w:rFonts w:ascii="Arial" w:eastAsia="Calibri" w:hAnsi="Arial" w:cs="Arial"/>
          <w:sz w:val="22"/>
          <w:szCs w:val="22"/>
        </w:rPr>
        <w:t>Has there been a review of the allocation of the equitable share to provinces for health services in the (a) 2013-14, (b) 2014-15 and (c) 2015-16 financial years; if not, (i) why not and (ii) does the National Treasury intend to make any changes to the equitable share formula; if so, what changes have been made to the equitable share formula in the specified financial years?</w:t>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p>
    <w:p w:rsidR="00983677" w:rsidRPr="00BE18ED" w:rsidRDefault="00983677" w:rsidP="00983677">
      <w:pPr>
        <w:spacing w:before="100" w:beforeAutospacing="1" w:after="100" w:afterAutospacing="1" w:line="276" w:lineRule="auto"/>
        <w:ind w:left="851"/>
        <w:jc w:val="both"/>
        <w:outlineLvl w:val="0"/>
        <w:rPr>
          <w:rFonts w:ascii="Arial" w:eastAsia="Calibri" w:hAnsi="Arial" w:cs="Arial"/>
          <w:sz w:val="22"/>
          <w:szCs w:val="22"/>
        </w:rPr>
      </w:pP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r>
      <w:r w:rsidRPr="00BE18ED">
        <w:rPr>
          <w:rFonts w:ascii="Arial" w:eastAsia="Calibri" w:hAnsi="Arial" w:cs="Arial"/>
          <w:sz w:val="22"/>
          <w:szCs w:val="22"/>
        </w:rPr>
        <w:tab/>
        <w:t>NW1316E</w:t>
      </w:r>
    </w:p>
    <w:p w:rsidR="001433AE" w:rsidRPr="00BE18ED" w:rsidRDefault="001433AE" w:rsidP="001B0917">
      <w:pPr>
        <w:pStyle w:val="BodyTextIndent"/>
        <w:spacing w:line="276" w:lineRule="auto"/>
        <w:ind w:left="0" w:firstLine="0"/>
        <w:rPr>
          <w:rFonts w:ascii="Arial" w:hAnsi="Arial" w:cs="Arial"/>
          <w:b/>
          <w:sz w:val="22"/>
          <w:szCs w:val="22"/>
        </w:rPr>
      </w:pPr>
      <w:r w:rsidRPr="00BE18ED">
        <w:rPr>
          <w:rFonts w:ascii="Arial" w:hAnsi="Arial" w:cs="Arial"/>
          <w:b/>
          <w:sz w:val="22"/>
          <w:szCs w:val="22"/>
        </w:rPr>
        <w:t>REPLY:</w:t>
      </w:r>
    </w:p>
    <w:p w:rsidR="00BA5822" w:rsidRDefault="001054B7" w:rsidP="00EF6A88">
      <w:pPr>
        <w:pStyle w:val="BodyTextIndent"/>
        <w:spacing w:line="276" w:lineRule="auto"/>
        <w:ind w:left="547" w:firstLine="0"/>
        <w:jc w:val="both"/>
        <w:rPr>
          <w:rFonts w:ascii="Arial" w:hAnsi="Arial" w:cs="Arial"/>
          <w:sz w:val="22"/>
          <w:szCs w:val="22"/>
        </w:rPr>
      </w:pPr>
      <w:r>
        <w:rPr>
          <w:rFonts w:ascii="Arial" w:hAnsi="Arial" w:cs="Arial"/>
          <w:sz w:val="22"/>
          <w:szCs w:val="22"/>
        </w:rPr>
        <w:t>Yes. The provincial equitable share formula is reviewed and updated annually with new data, where available.</w:t>
      </w:r>
      <w:r w:rsidR="00F03D8E" w:rsidRPr="00BE18ED">
        <w:rPr>
          <w:rFonts w:ascii="Arial" w:hAnsi="Arial" w:cs="Arial"/>
          <w:sz w:val="22"/>
          <w:szCs w:val="22"/>
        </w:rPr>
        <w:t xml:space="preserve"> </w:t>
      </w:r>
      <w:r w:rsidR="00014ECA">
        <w:rPr>
          <w:rFonts w:ascii="Arial" w:hAnsi="Arial" w:cs="Arial"/>
          <w:sz w:val="22"/>
          <w:szCs w:val="22"/>
        </w:rPr>
        <w:t>Periodic reviews of the formula are also undertaken.</w:t>
      </w:r>
    </w:p>
    <w:p w:rsidR="00BA5822" w:rsidRDefault="00BA5822" w:rsidP="00EF6A88">
      <w:pPr>
        <w:pStyle w:val="BodyTextIndent"/>
        <w:spacing w:line="276" w:lineRule="auto"/>
        <w:ind w:left="547" w:firstLine="0"/>
        <w:jc w:val="both"/>
        <w:rPr>
          <w:rFonts w:ascii="Arial" w:hAnsi="Arial" w:cs="Arial"/>
          <w:sz w:val="22"/>
          <w:szCs w:val="22"/>
        </w:rPr>
      </w:pPr>
    </w:p>
    <w:p w:rsidR="001054B7" w:rsidRDefault="001054B7" w:rsidP="0094227D">
      <w:pPr>
        <w:autoSpaceDE w:val="0"/>
        <w:autoSpaceDN w:val="0"/>
        <w:adjustRightInd w:val="0"/>
        <w:ind w:left="547"/>
        <w:jc w:val="both"/>
        <w:rPr>
          <w:rFonts w:ascii="Arial" w:hAnsi="Arial" w:cs="Arial"/>
          <w:sz w:val="22"/>
          <w:szCs w:val="22"/>
        </w:rPr>
      </w:pPr>
      <w:r w:rsidRPr="00BE18ED">
        <w:rPr>
          <w:rFonts w:ascii="Arial" w:hAnsi="Arial" w:cs="Arial"/>
          <w:sz w:val="22"/>
          <w:szCs w:val="22"/>
        </w:rPr>
        <w:t>The provincial share of nationally raised revenue is disbursed to provinces using the Provincial Equitable Share (PES) formula. The formula comprises of six components, of which health is one of them, weighted at 27 per cent</w:t>
      </w:r>
      <w:r>
        <w:rPr>
          <w:rFonts w:ascii="Arial" w:hAnsi="Arial" w:cs="Arial"/>
          <w:sz w:val="22"/>
          <w:szCs w:val="22"/>
        </w:rPr>
        <w:t xml:space="preserve">. </w:t>
      </w:r>
    </w:p>
    <w:p w:rsidR="001054B7" w:rsidRDefault="001054B7" w:rsidP="0094227D">
      <w:pPr>
        <w:autoSpaceDE w:val="0"/>
        <w:autoSpaceDN w:val="0"/>
        <w:adjustRightInd w:val="0"/>
        <w:ind w:left="547"/>
        <w:jc w:val="both"/>
        <w:rPr>
          <w:rFonts w:ascii="Arial" w:hAnsi="Arial" w:cs="Arial"/>
          <w:sz w:val="22"/>
          <w:szCs w:val="22"/>
        </w:rPr>
      </w:pPr>
    </w:p>
    <w:p w:rsidR="00BA5822" w:rsidRDefault="00BA5822" w:rsidP="0094227D">
      <w:pPr>
        <w:autoSpaceDE w:val="0"/>
        <w:autoSpaceDN w:val="0"/>
        <w:adjustRightInd w:val="0"/>
        <w:ind w:left="547"/>
        <w:jc w:val="both"/>
        <w:rPr>
          <w:rFonts w:ascii="Arial" w:hAnsi="Arial" w:cs="Arial"/>
          <w:sz w:val="22"/>
          <w:szCs w:val="22"/>
        </w:rPr>
      </w:pPr>
      <w:r>
        <w:rPr>
          <w:rFonts w:ascii="Arial" w:hAnsi="Arial" w:cs="Arial"/>
          <w:sz w:val="22"/>
          <w:szCs w:val="22"/>
        </w:rPr>
        <w:t xml:space="preserve">The structure of the health component </w:t>
      </w:r>
      <w:r w:rsidR="004174B1">
        <w:rPr>
          <w:rFonts w:ascii="Arial" w:hAnsi="Arial" w:cs="Arial"/>
          <w:sz w:val="22"/>
          <w:szCs w:val="22"/>
        </w:rPr>
        <w:t>in</w:t>
      </w:r>
      <w:r>
        <w:rPr>
          <w:rFonts w:ascii="Arial" w:hAnsi="Arial" w:cs="Arial"/>
          <w:sz w:val="22"/>
          <w:szCs w:val="22"/>
        </w:rPr>
        <w:t xml:space="preserve"> the provincial equitable share was amended through </w:t>
      </w:r>
      <w:r w:rsidR="00C842A2">
        <w:rPr>
          <w:rFonts w:ascii="Arial" w:hAnsi="Arial" w:cs="Arial"/>
          <w:sz w:val="22"/>
          <w:szCs w:val="22"/>
        </w:rPr>
        <w:t xml:space="preserve">a </w:t>
      </w:r>
      <w:r>
        <w:rPr>
          <w:rFonts w:ascii="Arial" w:hAnsi="Arial" w:cs="Arial"/>
          <w:sz w:val="22"/>
          <w:szCs w:val="22"/>
        </w:rPr>
        <w:t xml:space="preserve">review </w:t>
      </w:r>
      <w:r w:rsidR="00C842A2">
        <w:rPr>
          <w:rFonts w:ascii="Arial" w:hAnsi="Arial" w:cs="Arial"/>
          <w:sz w:val="22"/>
          <w:szCs w:val="22"/>
        </w:rPr>
        <w:t xml:space="preserve">undertaken </w:t>
      </w:r>
      <w:r>
        <w:rPr>
          <w:rFonts w:ascii="Arial" w:hAnsi="Arial" w:cs="Arial"/>
          <w:sz w:val="22"/>
          <w:szCs w:val="22"/>
        </w:rPr>
        <w:t xml:space="preserve">in </w:t>
      </w:r>
      <w:r w:rsidR="00FF2F58">
        <w:rPr>
          <w:rFonts w:ascii="Arial" w:hAnsi="Arial" w:cs="Arial"/>
          <w:sz w:val="22"/>
          <w:szCs w:val="22"/>
        </w:rPr>
        <w:t>2010/11</w:t>
      </w:r>
      <w:r w:rsidR="0094227D">
        <w:rPr>
          <w:rFonts w:ascii="Arial" w:hAnsi="Arial" w:cs="Arial"/>
          <w:sz w:val="22"/>
          <w:szCs w:val="22"/>
        </w:rPr>
        <w:t xml:space="preserve">. The </w:t>
      </w:r>
      <w:r w:rsidR="00C842A2">
        <w:rPr>
          <w:rFonts w:ascii="Arial" w:hAnsi="Arial" w:cs="Arial"/>
          <w:sz w:val="22"/>
          <w:szCs w:val="22"/>
        </w:rPr>
        <w:t xml:space="preserve">revised </w:t>
      </w:r>
      <w:r w:rsidR="0094227D">
        <w:rPr>
          <w:rFonts w:ascii="Arial" w:hAnsi="Arial" w:cs="Arial"/>
          <w:sz w:val="22"/>
          <w:szCs w:val="22"/>
        </w:rPr>
        <w:t>health component</w:t>
      </w:r>
      <w:r w:rsidR="00AD49C7">
        <w:rPr>
          <w:rFonts w:ascii="Arial" w:hAnsi="Arial" w:cs="Arial"/>
          <w:sz w:val="22"/>
          <w:szCs w:val="22"/>
        </w:rPr>
        <w:t>,</w:t>
      </w:r>
      <w:r w:rsidR="0094227D">
        <w:rPr>
          <w:rFonts w:ascii="Arial" w:hAnsi="Arial" w:cs="Arial"/>
          <w:sz w:val="22"/>
          <w:szCs w:val="22"/>
        </w:rPr>
        <w:t xml:space="preserve"> </w:t>
      </w:r>
      <w:r w:rsidR="00AD49C7">
        <w:rPr>
          <w:rFonts w:ascii="Arial" w:hAnsi="Arial" w:cs="Arial"/>
          <w:sz w:val="22"/>
          <w:szCs w:val="22"/>
        </w:rPr>
        <w:t xml:space="preserve">introduced from 2011/12, </w:t>
      </w:r>
      <w:r w:rsidR="0094227D">
        <w:rPr>
          <w:rFonts w:ascii="Arial" w:hAnsi="Arial" w:cs="Arial"/>
          <w:sz w:val="22"/>
          <w:szCs w:val="22"/>
        </w:rPr>
        <w:t xml:space="preserve">uses a risk-adjusted capitation index and output data from public hospitals to estimate each province’s share of the health component. These </w:t>
      </w:r>
      <w:r w:rsidR="00C842A2">
        <w:rPr>
          <w:rFonts w:ascii="Arial" w:hAnsi="Arial" w:cs="Arial"/>
          <w:sz w:val="22"/>
          <w:szCs w:val="22"/>
        </w:rPr>
        <w:t>two subcomponents</w:t>
      </w:r>
      <w:r w:rsidR="0094227D">
        <w:rPr>
          <w:rFonts w:ascii="Arial" w:hAnsi="Arial" w:cs="Arial"/>
          <w:sz w:val="22"/>
          <w:szCs w:val="22"/>
        </w:rPr>
        <w:t xml:space="preserve"> work together to balance the needs (risk-adjusted capitation) and demands (output component). </w:t>
      </w:r>
      <w:r w:rsidRPr="00BE18ED">
        <w:rPr>
          <w:rFonts w:ascii="Arial" w:hAnsi="Arial" w:cs="Arial"/>
          <w:sz w:val="22"/>
          <w:szCs w:val="22"/>
        </w:rPr>
        <w:t>Caseload</w:t>
      </w:r>
      <w:r w:rsidR="00AD49C7">
        <w:rPr>
          <w:rFonts w:ascii="Arial" w:hAnsi="Arial" w:cs="Arial"/>
          <w:sz w:val="22"/>
          <w:szCs w:val="22"/>
        </w:rPr>
        <w:t xml:space="preserve"> data in the health component</w:t>
      </w:r>
      <w:r w:rsidRPr="00BE18ED">
        <w:rPr>
          <w:rFonts w:ascii="Arial" w:hAnsi="Arial" w:cs="Arial"/>
          <w:sz w:val="22"/>
          <w:szCs w:val="22"/>
        </w:rPr>
        <w:t xml:space="preserve">, </w:t>
      </w:r>
      <w:r w:rsidR="00AD49C7">
        <w:rPr>
          <w:rFonts w:ascii="Arial" w:hAnsi="Arial" w:cs="Arial"/>
          <w:sz w:val="22"/>
          <w:szCs w:val="22"/>
        </w:rPr>
        <w:t xml:space="preserve">which measures </w:t>
      </w:r>
      <w:r w:rsidRPr="00BE18ED">
        <w:rPr>
          <w:rFonts w:ascii="Arial" w:hAnsi="Arial" w:cs="Arial"/>
          <w:sz w:val="22"/>
          <w:szCs w:val="22"/>
        </w:rPr>
        <w:t>demand on the ground</w:t>
      </w:r>
      <w:r w:rsidR="00AD49C7">
        <w:rPr>
          <w:rFonts w:ascii="Arial" w:hAnsi="Arial" w:cs="Arial"/>
          <w:sz w:val="22"/>
          <w:szCs w:val="22"/>
        </w:rPr>
        <w:t xml:space="preserve">, </w:t>
      </w:r>
      <w:r w:rsidRPr="00BE18ED">
        <w:rPr>
          <w:rFonts w:ascii="Arial" w:hAnsi="Arial" w:cs="Arial"/>
          <w:sz w:val="22"/>
          <w:szCs w:val="22"/>
        </w:rPr>
        <w:t>changes from year to year and is updated every year with data from the national Department of Health’s Information System. However, the epidemiological landscape that drives the risk profile of a population in a province is unlikely to change from year to year</w:t>
      </w:r>
      <w:r w:rsidR="00AD49C7">
        <w:rPr>
          <w:rFonts w:ascii="Arial" w:hAnsi="Arial" w:cs="Arial"/>
          <w:sz w:val="22"/>
          <w:szCs w:val="22"/>
        </w:rPr>
        <w:t xml:space="preserve"> and this</w:t>
      </w:r>
      <w:r w:rsidRPr="00BE18ED">
        <w:rPr>
          <w:rFonts w:ascii="Arial" w:hAnsi="Arial" w:cs="Arial"/>
          <w:sz w:val="22"/>
          <w:szCs w:val="22"/>
        </w:rPr>
        <w:t xml:space="preserve"> subcomponent of the health component i</w:t>
      </w:r>
      <w:r w:rsidR="00AD49C7">
        <w:rPr>
          <w:rFonts w:ascii="Arial" w:hAnsi="Arial" w:cs="Arial"/>
          <w:sz w:val="22"/>
          <w:szCs w:val="22"/>
        </w:rPr>
        <w:t xml:space="preserve">s </w:t>
      </w:r>
      <w:r w:rsidRPr="00BE18ED">
        <w:rPr>
          <w:rFonts w:ascii="Arial" w:hAnsi="Arial" w:cs="Arial"/>
          <w:sz w:val="22"/>
          <w:szCs w:val="22"/>
        </w:rPr>
        <w:t>updated on a 4 to 5 year</w:t>
      </w:r>
      <w:r w:rsidR="00AD49C7">
        <w:rPr>
          <w:rFonts w:ascii="Arial" w:hAnsi="Arial" w:cs="Arial"/>
          <w:sz w:val="22"/>
          <w:szCs w:val="22"/>
        </w:rPr>
        <w:t>s</w:t>
      </w:r>
      <w:r w:rsidRPr="00BE18ED">
        <w:rPr>
          <w:rFonts w:ascii="Arial" w:hAnsi="Arial" w:cs="Arial"/>
          <w:sz w:val="22"/>
          <w:szCs w:val="22"/>
        </w:rPr>
        <w:t xml:space="preserve"> interval cycle</w:t>
      </w:r>
      <w:r>
        <w:rPr>
          <w:rFonts w:ascii="Arial" w:hAnsi="Arial" w:cs="Arial"/>
          <w:sz w:val="22"/>
          <w:szCs w:val="22"/>
        </w:rPr>
        <w:t>.</w:t>
      </w:r>
      <w:r w:rsidR="00AD49C7">
        <w:rPr>
          <w:rFonts w:ascii="Arial" w:hAnsi="Arial" w:cs="Arial"/>
          <w:sz w:val="22"/>
          <w:szCs w:val="22"/>
        </w:rPr>
        <w:t xml:space="preserve"> </w:t>
      </w:r>
    </w:p>
    <w:p w:rsidR="001054B7" w:rsidRDefault="001054B7" w:rsidP="0094227D">
      <w:pPr>
        <w:autoSpaceDE w:val="0"/>
        <w:autoSpaceDN w:val="0"/>
        <w:adjustRightInd w:val="0"/>
        <w:ind w:left="547"/>
        <w:jc w:val="both"/>
        <w:rPr>
          <w:rFonts w:ascii="Arial" w:hAnsi="Arial" w:cs="Arial"/>
          <w:sz w:val="22"/>
          <w:szCs w:val="22"/>
        </w:rPr>
      </w:pPr>
    </w:p>
    <w:p w:rsidR="001054B7" w:rsidRDefault="001054B7" w:rsidP="001B6DEA">
      <w:pPr>
        <w:autoSpaceDE w:val="0"/>
        <w:autoSpaceDN w:val="0"/>
        <w:adjustRightInd w:val="0"/>
        <w:ind w:left="544"/>
        <w:jc w:val="both"/>
        <w:rPr>
          <w:rFonts w:ascii="Arial" w:hAnsi="Arial" w:cs="Arial"/>
          <w:sz w:val="22"/>
          <w:szCs w:val="22"/>
        </w:rPr>
      </w:pPr>
      <w:r>
        <w:rPr>
          <w:rFonts w:ascii="Arial" w:hAnsi="Arial" w:cs="Arial"/>
          <w:sz w:val="22"/>
          <w:szCs w:val="22"/>
        </w:rPr>
        <w:t xml:space="preserve">A review of the provincial equitable share formula is currently underway that will, amongst others, </w:t>
      </w:r>
      <w:r w:rsidR="00417EFE">
        <w:rPr>
          <w:rFonts w:ascii="Arial" w:hAnsi="Arial" w:cs="Arial"/>
          <w:sz w:val="22"/>
          <w:szCs w:val="22"/>
        </w:rPr>
        <w:t xml:space="preserve">assess all data sources available for each of the components of the formula, including the health component.  </w:t>
      </w:r>
      <w:r w:rsidR="00E02639">
        <w:rPr>
          <w:rFonts w:ascii="Arial" w:hAnsi="Arial" w:cs="Arial"/>
          <w:sz w:val="22"/>
          <w:szCs w:val="22"/>
        </w:rPr>
        <w:t xml:space="preserve">The outcomes of this review </w:t>
      </w:r>
      <w:r>
        <w:rPr>
          <w:rFonts w:ascii="Arial" w:hAnsi="Arial" w:cs="Arial"/>
          <w:sz w:val="22"/>
          <w:szCs w:val="22"/>
        </w:rPr>
        <w:t>will be implemented in future medium term expenditure frameworks (MTEFs).</w:t>
      </w:r>
    </w:p>
    <w:p w:rsidR="00BA5822" w:rsidRDefault="00BA5822" w:rsidP="00EF6A88">
      <w:pPr>
        <w:pStyle w:val="BodyTextIndent"/>
        <w:spacing w:line="276" w:lineRule="auto"/>
        <w:ind w:left="547" w:firstLine="0"/>
        <w:jc w:val="both"/>
        <w:rPr>
          <w:rFonts w:ascii="Arial" w:hAnsi="Arial" w:cs="Arial"/>
          <w:sz w:val="22"/>
          <w:szCs w:val="22"/>
        </w:rPr>
      </w:pPr>
    </w:p>
    <w:p w:rsidR="00BA5822" w:rsidRDefault="00BA5822" w:rsidP="00BA5822">
      <w:pPr>
        <w:pStyle w:val="BodyTextIndent"/>
        <w:numPr>
          <w:ilvl w:val="0"/>
          <w:numId w:val="4"/>
        </w:numPr>
        <w:tabs>
          <w:tab w:val="clear" w:pos="864"/>
          <w:tab w:val="left" w:pos="1134"/>
        </w:tabs>
        <w:spacing w:line="276" w:lineRule="auto"/>
        <w:ind w:left="1134" w:hanging="567"/>
        <w:jc w:val="both"/>
        <w:rPr>
          <w:rFonts w:ascii="Arial" w:hAnsi="Arial" w:cs="Arial"/>
          <w:sz w:val="22"/>
          <w:szCs w:val="22"/>
        </w:rPr>
      </w:pPr>
      <w:r>
        <w:rPr>
          <w:rFonts w:ascii="Arial" w:hAnsi="Arial" w:cs="Arial"/>
          <w:sz w:val="22"/>
          <w:szCs w:val="22"/>
        </w:rPr>
        <w:t>Not applicable</w:t>
      </w:r>
      <w:r w:rsidR="00DE526F">
        <w:rPr>
          <w:rFonts w:ascii="Arial" w:hAnsi="Arial" w:cs="Arial"/>
          <w:sz w:val="22"/>
          <w:szCs w:val="22"/>
        </w:rPr>
        <w:t>.</w:t>
      </w:r>
    </w:p>
    <w:p w:rsidR="00BA5822" w:rsidRDefault="00BA5822" w:rsidP="00EF6A88">
      <w:pPr>
        <w:pStyle w:val="BodyTextIndent"/>
        <w:spacing w:line="276" w:lineRule="auto"/>
        <w:ind w:left="547" w:firstLine="0"/>
        <w:jc w:val="both"/>
        <w:rPr>
          <w:rFonts w:ascii="Arial" w:hAnsi="Arial" w:cs="Arial"/>
          <w:sz w:val="22"/>
          <w:szCs w:val="22"/>
        </w:rPr>
      </w:pPr>
    </w:p>
    <w:p w:rsidR="00EF6A88" w:rsidRDefault="00014ECA" w:rsidP="00014ECA">
      <w:pPr>
        <w:pStyle w:val="BodyTextIndent"/>
        <w:numPr>
          <w:ilvl w:val="0"/>
          <w:numId w:val="4"/>
        </w:numPr>
        <w:tabs>
          <w:tab w:val="clear" w:pos="864"/>
          <w:tab w:val="left" w:pos="1134"/>
        </w:tabs>
        <w:spacing w:line="276" w:lineRule="auto"/>
        <w:ind w:left="1134" w:hanging="587"/>
        <w:jc w:val="both"/>
        <w:rPr>
          <w:rFonts w:ascii="Arial" w:hAnsi="Arial" w:cs="Arial"/>
          <w:sz w:val="22"/>
          <w:szCs w:val="22"/>
        </w:rPr>
      </w:pPr>
      <w:r>
        <w:rPr>
          <w:rFonts w:ascii="Arial" w:hAnsi="Arial" w:cs="Arial"/>
          <w:sz w:val="22"/>
          <w:szCs w:val="22"/>
        </w:rPr>
        <w:t>With respect to the health component, y</w:t>
      </w:r>
      <w:r w:rsidR="00BA5822">
        <w:rPr>
          <w:rFonts w:ascii="Arial" w:hAnsi="Arial" w:cs="Arial"/>
          <w:sz w:val="22"/>
          <w:szCs w:val="22"/>
        </w:rPr>
        <w:t>early data updates were applied for (a) 2013</w:t>
      </w:r>
      <w:r>
        <w:rPr>
          <w:rFonts w:ascii="Arial" w:hAnsi="Arial" w:cs="Arial"/>
          <w:sz w:val="22"/>
          <w:szCs w:val="22"/>
        </w:rPr>
        <w:t>/</w:t>
      </w:r>
      <w:r w:rsidR="00BA5822">
        <w:rPr>
          <w:rFonts w:ascii="Arial" w:hAnsi="Arial" w:cs="Arial"/>
          <w:sz w:val="22"/>
          <w:szCs w:val="22"/>
        </w:rPr>
        <w:t>14, (b) 2014</w:t>
      </w:r>
      <w:r>
        <w:rPr>
          <w:rFonts w:ascii="Arial" w:hAnsi="Arial" w:cs="Arial"/>
          <w:sz w:val="22"/>
          <w:szCs w:val="22"/>
        </w:rPr>
        <w:t>/</w:t>
      </w:r>
      <w:r w:rsidR="00BA5822">
        <w:rPr>
          <w:rFonts w:ascii="Arial" w:hAnsi="Arial" w:cs="Arial"/>
          <w:sz w:val="22"/>
          <w:szCs w:val="22"/>
        </w:rPr>
        <w:t>15 and (c) 2015</w:t>
      </w:r>
      <w:r>
        <w:rPr>
          <w:rFonts w:ascii="Arial" w:hAnsi="Arial" w:cs="Arial"/>
          <w:sz w:val="22"/>
          <w:szCs w:val="22"/>
        </w:rPr>
        <w:t>/</w:t>
      </w:r>
      <w:r w:rsidR="00AD49C7">
        <w:rPr>
          <w:rFonts w:ascii="Arial" w:hAnsi="Arial" w:cs="Arial"/>
          <w:sz w:val="22"/>
          <w:szCs w:val="22"/>
        </w:rPr>
        <w:t>16</w:t>
      </w:r>
      <w:r>
        <w:rPr>
          <w:rFonts w:ascii="Arial" w:hAnsi="Arial" w:cs="Arial"/>
          <w:sz w:val="22"/>
          <w:szCs w:val="22"/>
        </w:rPr>
        <w:t xml:space="preserve"> as follows:</w:t>
      </w:r>
    </w:p>
    <w:p w:rsidR="00EF6A88" w:rsidRDefault="00EF6A88" w:rsidP="00EF6A88">
      <w:pPr>
        <w:pStyle w:val="ListParagraph"/>
        <w:rPr>
          <w:rFonts w:ascii="Arial" w:hAnsi="Arial" w:cs="Arial"/>
          <w:sz w:val="22"/>
          <w:szCs w:val="22"/>
        </w:rPr>
      </w:pPr>
    </w:p>
    <w:p w:rsidR="00EF6A88" w:rsidRPr="001054B7" w:rsidRDefault="00EF6A88" w:rsidP="001054B7">
      <w:pPr>
        <w:pStyle w:val="BodyTextIndent"/>
        <w:numPr>
          <w:ilvl w:val="0"/>
          <w:numId w:val="5"/>
        </w:numPr>
        <w:tabs>
          <w:tab w:val="clear" w:pos="864"/>
          <w:tab w:val="left" w:pos="1134"/>
        </w:tabs>
        <w:spacing w:line="276" w:lineRule="auto"/>
        <w:ind w:left="1494"/>
        <w:jc w:val="both"/>
        <w:rPr>
          <w:rFonts w:ascii="Arial" w:hAnsi="Arial" w:cs="Arial"/>
          <w:sz w:val="22"/>
          <w:szCs w:val="22"/>
        </w:rPr>
      </w:pPr>
      <w:r w:rsidRPr="001054B7">
        <w:rPr>
          <w:rFonts w:ascii="Arial" w:hAnsi="Arial" w:cs="Arial"/>
          <w:sz w:val="22"/>
          <w:szCs w:val="22"/>
        </w:rPr>
        <w:t>2013/14</w:t>
      </w:r>
    </w:p>
    <w:p w:rsidR="00014ECA" w:rsidRPr="00014ECA" w:rsidRDefault="00014ECA" w:rsidP="001B6DEA">
      <w:pPr>
        <w:autoSpaceDE w:val="0"/>
        <w:autoSpaceDN w:val="0"/>
        <w:adjustRightInd w:val="0"/>
        <w:ind w:left="1440"/>
        <w:jc w:val="both"/>
        <w:rPr>
          <w:rFonts w:ascii="TimesNewRoman" w:hAnsi="TimesNewRoman" w:cs="TimesNewRoman"/>
          <w:sz w:val="21"/>
          <w:szCs w:val="21"/>
          <w:lang w:eastAsia="en-ZA"/>
        </w:rPr>
      </w:pPr>
      <w:r w:rsidRPr="00014ECA">
        <w:rPr>
          <w:rFonts w:ascii="TimesNewRoman" w:hAnsi="TimesNewRoman" w:cs="TimesNewRoman"/>
          <w:sz w:val="21"/>
          <w:szCs w:val="21"/>
          <w:lang w:eastAsia="en-ZA"/>
        </w:rPr>
        <w:t xml:space="preserve">The health component </w:t>
      </w:r>
      <w:r w:rsidR="001B6DEA">
        <w:rPr>
          <w:rFonts w:ascii="TimesNewRoman" w:hAnsi="TimesNewRoman" w:cs="TimesNewRoman"/>
          <w:sz w:val="21"/>
          <w:szCs w:val="21"/>
          <w:lang w:eastAsia="en-ZA"/>
        </w:rPr>
        <w:t xml:space="preserve">for 2013/14 </w:t>
      </w:r>
      <w:r w:rsidRPr="00014ECA">
        <w:rPr>
          <w:rFonts w:ascii="TimesNewRoman" w:hAnsi="TimesNewRoman" w:cs="TimesNewRoman"/>
          <w:sz w:val="21"/>
          <w:szCs w:val="21"/>
          <w:lang w:eastAsia="en-ZA"/>
        </w:rPr>
        <w:t xml:space="preserve">was updated with </w:t>
      </w:r>
      <w:r w:rsidR="001B6DEA">
        <w:rPr>
          <w:rFonts w:ascii="TimesNewRoman" w:hAnsi="TimesNewRoman" w:cs="TimesNewRoman"/>
          <w:sz w:val="21"/>
          <w:szCs w:val="21"/>
          <w:lang w:eastAsia="en-ZA"/>
        </w:rPr>
        <w:t xml:space="preserve">the </w:t>
      </w:r>
      <w:r w:rsidRPr="00014ECA">
        <w:rPr>
          <w:rFonts w:ascii="TimesNewRoman" w:hAnsi="TimesNewRoman" w:cs="TimesNewRoman"/>
          <w:sz w:val="21"/>
          <w:szCs w:val="21"/>
          <w:lang w:eastAsia="en-ZA"/>
        </w:rPr>
        <w:t>2011 General Household Survey</w:t>
      </w:r>
      <w:r w:rsidR="00533650">
        <w:rPr>
          <w:rFonts w:ascii="TimesNewRoman" w:hAnsi="TimesNewRoman" w:cs="TimesNewRoman"/>
          <w:sz w:val="21"/>
          <w:szCs w:val="21"/>
          <w:lang w:eastAsia="en-ZA"/>
        </w:rPr>
        <w:t xml:space="preserve">, 2012 mid-year population estimates, </w:t>
      </w:r>
      <w:r w:rsidR="00533650" w:rsidRPr="00014ECA">
        <w:rPr>
          <w:rFonts w:ascii="TimesNewRoman" w:hAnsi="TimesNewRoman" w:cs="TimesNewRoman"/>
          <w:sz w:val="21"/>
          <w:szCs w:val="21"/>
          <w:lang w:eastAsia="en-ZA"/>
        </w:rPr>
        <w:t xml:space="preserve">data from the </w:t>
      </w:r>
      <w:r w:rsidR="00533650">
        <w:rPr>
          <w:rFonts w:ascii="TimesNewRomanPSMT" w:hAnsi="TimesNewRomanPSMT" w:cs="TimesNewRomanPSMT"/>
          <w:sz w:val="21"/>
          <w:szCs w:val="21"/>
          <w:lang w:eastAsia="en-ZA"/>
        </w:rPr>
        <w:t xml:space="preserve">Council for Medical </w:t>
      </w:r>
      <w:r w:rsidR="00533650">
        <w:rPr>
          <w:rFonts w:ascii="TimesNewRomanPSMT" w:hAnsi="TimesNewRomanPSMT" w:cs="TimesNewRomanPSMT"/>
          <w:sz w:val="21"/>
          <w:szCs w:val="21"/>
          <w:lang w:eastAsia="en-ZA"/>
        </w:rPr>
        <w:lastRenderedPageBreak/>
        <w:t>Schemes’ Risk Equalisation Fund, and District Health Information Services data for 2010/11 and 2011/12</w:t>
      </w:r>
      <w:r w:rsidR="00533650" w:rsidRPr="00014ECA">
        <w:rPr>
          <w:rFonts w:ascii="TimesNewRoman" w:hAnsi="TimesNewRoman" w:cs="TimesNewRoman"/>
          <w:sz w:val="21"/>
          <w:szCs w:val="21"/>
          <w:lang w:eastAsia="en-ZA"/>
        </w:rPr>
        <w:t xml:space="preserve">. </w:t>
      </w:r>
      <w:r w:rsidRPr="00014ECA">
        <w:rPr>
          <w:rFonts w:ascii="TimesNewRoman" w:hAnsi="TimesNewRoman" w:cs="TimesNewRoman"/>
          <w:sz w:val="21"/>
          <w:szCs w:val="21"/>
          <w:lang w:eastAsia="en-ZA"/>
        </w:rPr>
        <w:t>The details of such updates are contained in pages 77 to 79 of the 2013 Division of Revenue Bill.</w:t>
      </w:r>
    </w:p>
    <w:p w:rsidR="00AD49C7" w:rsidRPr="001054B7" w:rsidRDefault="00AD49C7" w:rsidP="001B6DEA">
      <w:pPr>
        <w:pStyle w:val="BodyTextIndent"/>
        <w:tabs>
          <w:tab w:val="clear" w:pos="864"/>
          <w:tab w:val="left" w:pos="1134"/>
        </w:tabs>
        <w:spacing w:line="240" w:lineRule="auto"/>
        <w:ind w:left="1134" w:firstLine="0"/>
        <w:jc w:val="both"/>
        <w:rPr>
          <w:rFonts w:ascii="Arial" w:hAnsi="Arial" w:cs="Arial"/>
          <w:sz w:val="22"/>
          <w:szCs w:val="22"/>
        </w:rPr>
      </w:pPr>
    </w:p>
    <w:p w:rsidR="00EF6A88" w:rsidRPr="001054B7" w:rsidRDefault="00EF6A88" w:rsidP="001B6DEA">
      <w:pPr>
        <w:pStyle w:val="BodyTextIndent"/>
        <w:numPr>
          <w:ilvl w:val="0"/>
          <w:numId w:val="5"/>
        </w:numPr>
        <w:tabs>
          <w:tab w:val="clear" w:pos="864"/>
          <w:tab w:val="left" w:pos="1134"/>
        </w:tabs>
        <w:spacing w:line="240" w:lineRule="auto"/>
        <w:ind w:left="1494"/>
        <w:jc w:val="both"/>
        <w:rPr>
          <w:rFonts w:ascii="Arial" w:hAnsi="Arial" w:cs="Arial"/>
          <w:sz w:val="22"/>
          <w:szCs w:val="22"/>
        </w:rPr>
      </w:pPr>
      <w:r w:rsidRPr="001054B7">
        <w:rPr>
          <w:rFonts w:ascii="Arial" w:hAnsi="Arial" w:cs="Arial"/>
          <w:sz w:val="22"/>
          <w:szCs w:val="22"/>
        </w:rPr>
        <w:t>2014/15</w:t>
      </w:r>
    </w:p>
    <w:p w:rsidR="00EF6A88" w:rsidRDefault="001B6DEA" w:rsidP="00533650">
      <w:pPr>
        <w:autoSpaceDE w:val="0"/>
        <w:autoSpaceDN w:val="0"/>
        <w:adjustRightInd w:val="0"/>
        <w:ind w:left="1494"/>
        <w:jc w:val="both"/>
        <w:rPr>
          <w:rFonts w:ascii="TimesNewRoman" w:hAnsi="TimesNewRoman" w:cs="TimesNewRoman"/>
          <w:sz w:val="21"/>
          <w:szCs w:val="21"/>
          <w:lang w:eastAsia="en-ZA"/>
        </w:rPr>
      </w:pPr>
      <w:r w:rsidRPr="00014ECA">
        <w:rPr>
          <w:rFonts w:ascii="TimesNewRoman" w:hAnsi="TimesNewRoman" w:cs="TimesNewRoman"/>
          <w:sz w:val="21"/>
          <w:szCs w:val="21"/>
          <w:lang w:eastAsia="en-ZA"/>
        </w:rPr>
        <w:t xml:space="preserve">The health component </w:t>
      </w:r>
      <w:r>
        <w:rPr>
          <w:rFonts w:ascii="TimesNewRoman" w:hAnsi="TimesNewRoman" w:cs="TimesNewRoman"/>
          <w:sz w:val="21"/>
          <w:szCs w:val="21"/>
          <w:lang w:eastAsia="en-ZA"/>
        </w:rPr>
        <w:t>for 201</w:t>
      </w:r>
      <w:r w:rsidR="00C26073">
        <w:rPr>
          <w:rFonts w:ascii="TimesNewRoman" w:hAnsi="TimesNewRoman" w:cs="TimesNewRoman"/>
          <w:sz w:val="21"/>
          <w:szCs w:val="21"/>
          <w:lang w:eastAsia="en-ZA"/>
        </w:rPr>
        <w:t>4</w:t>
      </w:r>
      <w:r>
        <w:rPr>
          <w:rFonts w:ascii="TimesNewRoman" w:hAnsi="TimesNewRoman" w:cs="TimesNewRoman"/>
          <w:sz w:val="21"/>
          <w:szCs w:val="21"/>
          <w:lang w:eastAsia="en-ZA"/>
        </w:rPr>
        <w:t>/1</w:t>
      </w:r>
      <w:r w:rsidR="00C26073">
        <w:rPr>
          <w:rFonts w:ascii="TimesNewRoman" w:hAnsi="TimesNewRoman" w:cs="TimesNewRoman"/>
          <w:sz w:val="21"/>
          <w:szCs w:val="21"/>
          <w:lang w:eastAsia="en-ZA"/>
        </w:rPr>
        <w:t>5</w:t>
      </w:r>
      <w:r>
        <w:rPr>
          <w:rFonts w:ascii="TimesNewRoman" w:hAnsi="TimesNewRoman" w:cs="TimesNewRoman"/>
          <w:sz w:val="21"/>
          <w:szCs w:val="21"/>
          <w:lang w:eastAsia="en-ZA"/>
        </w:rPr>
        <w:t xml:space="preserve"> </w:t>
      </w:r>
      <w:r w:rsidRPr="00014ECA">
        <w:rPr>
          <w:rFonts w:ascii="TimesNewRoman" w:hAnsi="TimesNewRoman" w:cs="TimesNewRoman"/>
          <w:sz w:val="21"/>
          <w:szCs w:val="21"/>
          <w:lang w:eastAsia="en-ZA"/>
        </w:rPr>
        <w:t xml:space="preserve">was updated with </w:t>
      </w:r>
      <w:r>
        <w:rPr>
          <w:rFonts w:ascii="TimesNewRoman" w:hAnsi="TimesNewRoman" w:cs="TimesNewRoman"/>
          <w:sz w:val="21"/>
          <w:szCs w:val="21"/>
          <w:lang w:eastAsia="en-ZA"/>
        </w:rPr>
        <w:t xml:space="preserve">the </w:t>
      </w:r>
      <w:r w:rsidRPr="00014ECA">
        <w:rPr>
          <w:rFonts w:ascii="TimesNewRoman" w:hAnsi="TimesNewRoman" w:cs="TimesNewRoman"/>
          <w:sz w:val="21"/>
          <w:szCs w:val="21"/>
          <w:lang w:eastAsia="en-ZA"/>
        </w:rPr>
        <w:t>201</w:t>
      </w:r>
      <w:r w:rsidR="00C26073">
        <w:rPr>
          <w:rFonts w:ascii="TimesNewRoman" w:hAnsi="TimesNewRoman" w:cs="TimesNewRoman"/>
          <w:sz w:val="21"/>
          <w:szCs w:val="21"/>
          <w:lang w:eastAsia="en-ZA"/>
        </w:rPr>
        <w:t>2</w:t>
      </w:r>
      <w:r w:rsidRPr="00014ECA">
        <w:rPr>
          <w:rFonts w:ascii="TimesNewRoman" w:hAnsi="TimesNewRoman" w:cs="TimesNewRoman"/>
          <w:sz w:val="21"/>
          <w:szCs w:val="21"/>
          <w:lang w:eastAsia="en-ZA"/>
        </w:rPr>
        <w:t xml:space="preserve"> General Household Survey</w:t>
      </w:r>
      <w:r w:rsidR="00C26073">
        <w:rPr>
          <w:rFonts w:ascii="TimesNewRoman" w:hAnsi="TimesNewRoman" w:cs="TimesNewRoman"/>
          <w:sz w:val="21"/>
          <w:szCs w:val="21"/>
          <w:lang w:eastAsia="en-ZA"/>
        </w:rPr>
        <w:t xml:space="preserve">, 2013 </w:t>
      </w:r>
      <w:r w:rsidR="00533650">
        <w:rPr>
          <w:rFonts w:ascii="TimesNewRomanPSMT" w:hAnsi="TimesNewRomanPSMT" w:cs="TimesNewRomanPSMT"/>
          <w:sz w:val="21"/>
          <w:szCs w:val="21"/>
          <w:lang w:eastAsia="en-ZA"/>
        </w:rPr>
        <w:t xml:space="preserve">mid-year population estimates, </w:t>
      </w:r>
      <w:r w:rsidRPr="00014ECA">
        <w:rPr>
          <w:rFonts w:ascii="TimesNewRoman" w:hAnsi="TimesNewRoman" w:cs="TimesNewRoman"/>
          <w:sz w:val="21"/>
          <w:szCs w:val="21"/>
          <w:lang w:eastAsia="en-ZA"/>
        </w:rPr>
        <w:t xml:space="preserve">data from the </w:t>
      </w:r>
      <w:r w:rsidR="00C26073">
        <w:rPr>
          <w:rFonts w:ascii="TimesNewRomanPSMT" w:hAnsi="TimesNewRomanPSMT" w:cs="TimesNewRomanPSMT"/>
          <w:sz w:val="21"/>
          <w:szCs w:val="21"/>
          <w:lang w:eastAsia="en-ZA"/>
        </w:rPr>
        <w:t>Council for Medical Schemes’ Risk Equalisation Fund</w:t>
      </w:r>
      <w:r w:rsidR="00533650">
        <w:rPr>
          <w:rFonts w:ascii="TimesNewRomanPSMT" w:hAnsi="TimesNewRomanPSMT" w:cs="TimesNewRomanPSMT"/>
          <w:sz w:val="21"/>
          <w:szCs w:val="21"/>
          <w:lang w:eastAsia="en-ZA"/>
        </w:rPr>
        <w:t>, and District Health Information Services data for 2011/12 and 2012/13</w:t>
      </w:r>
      <w:r w:rsidRPr="00014ECA">
        <w:rPr>
          <w:rFonts w:ascii="TimesNewRoman" w:hAnsi="TimesNewRoman" w:cs="TimesNewRoman"/>
          <w:sz w:val="21"/>
          <w:szCs w:val="21"/>
          <w:lang w:eastAsia="en-ZA"/>
        </w:rPr>
        <w:t>. The details of such updates are contained in pages 77 to 7</w:t>
      </w:r>
      <w:r w:rsidR="00C26073">
        <w:rPr>
          <w:rFonts w:ascii="TimesNewRoman" w:hAnsi="TimesNewRoman" w:cs="TimesNewRoman"/>
          <w:sz w:val="21"/>
          <w:szCs w:val="21"/>
          <w:lang w:eastAsia="en-ZA"/>
        </w:rPr>
        <w:t>8</w:t>
      </w:r>
      <w:r w:rsidRPr="00014ECA">
        <w:rPr>
          <w:rFonts w:ascii="TimesNewRoman" w:hAnsi="TimesNewRoman" w:cs="TimesNewRoman"/>
          <w:sz w:val="21"/>
          <w:szCs w:val="21"/>
          <w:lang w:eastAsia="en-ZA"/>
        </w:rPr>
        <w:t xml:space="preserve"> of the 201</w:t>
      </w:r>
      <w:r w:rsidR="00C26073">
        <w:rPr>
          <w:rFonts w:ascii="TimesNewRoman" w:hAnsi="TimesNewRoman" w:cs="TimesNewRoman"/>
          <w:sz w:val="21"/>
          <w:szCs w:val="21"/>
          <w:lang w:eastAsia="en-ZA"/>
        </w:rPr>
        <w:t>4</w:t>
      </w:r>
      <w:r w:rsidRPr="00014ECA">
        <w:rPr>
          <w:rFonts w:ascii="TimesNewRoman" w:hAnsi="TimesNewRoman" w:cs="TimesNewRoman"/>
          <w:sz w:val="21"/>
          <w:szCs w:val="21"/>
          <w:lang w:eastAsia="en-ZA"/>
        </w:rPr>
        <w:t xml:space="preserve"> Division of Revenue Bill.</w:t>
      </w:r>
    </w:p>
    <w:p w:rsidR="00C26073" w:rsidRDefault="00C26073" w:rsidP="001B6DEA">
      <w:pPr>
        <w:pStyle w:val="BodyTextIndent"/>
        <w:tabs>
          <w:tab w:val="clear" w:pos="864"/>
          <w:tab w:val="left" w:pos="1134"/>
        </w:tabs>
        <w:spacing w:line="240" w:lineRule="auto"/>
        <w:ind w:left="1494" w:firstLine="0"/>
        <w:jc w:val="both"/>
        <w:rPr>
          <w:rFonts w:ascii="TimesNewRoman" w:hAnsi="TimesNewRoman" w:cs="TimesNewRoman"/>
          <w:sz w:val="21"/>
          <w:szCs w:val="21"/>
          <w:lang w:eastAsia="en-ZA"/>
        </w:rPr>
      </w:pPr>
    </w:p>
    <w:p w:rsidR="00EF6A88" w:rsidRPr="001054B7" w:rsidRDefault="00EF6A88" w:rsidP="001B6DEA">
      <w:pPr>
        <w:pStyle w:val="BodyTextIndent"/>
        <w:numPr>
          <w:ilvl w:val="0"/>
          <w:numId w:val="5"/>
        </w:numPr>
        <w:tabs>
          <w:tab w:val="clear" w:pos="864"/>
          <w:tab w:val="left" w:pos="1134"/>
        </w:tabs>
        <w:spacing w:line="240" w:lineRule="auto"/>
        <w:ind w:left="1494"/>
        <w:jc w:val="both"/>
        <w:rPr>
          <w:rFonts w:ascii="Arial" w:hAnsi="Arial" w:cs="Arial"/>
          <w:sz w:val="22"/>
          <w:szCs w:val="22"/>
        </w:rPr>
      </w:pPr>
      <w:r w:rsidRPr="001054B7">
        <w:rPr>
          <w:rFonts w:ascii="Arial" w:hAnsi="Arial" w:cs="Arial"/>
          <w:sz w:val="22"/>
          <w:szCs w:val="22"/>
        </w:rPr>
        <w:t>2015/16</w:t>
      </w:r>
    </w:p>
    <w:p w:rsidR="00533650" w:rsidRPr="00533650" w:rsidRDefault="00533650" w:rsidP="00533650">
      <w:pPr>
        <w:autoSpaceDE w:val="0"/>
        <w:autoSpaceDN w:val="0"/>
        <w:adjustRightInd w:val="0"/>
        <w:ind w:left="1494"/>
        <w:jc w:val="both"/>
        <w:rPr>
          <w:rFonts w:ascii="TimesNewRoman" w:hAnsi="TimesNewRoman" w:cs="TimesNewRoman"/>
          <w:sz w:val="21"/>
          <w:szCs w:val="21"/>
          <w:lang w:eastAsia="en-ZA"/>
        </w:rPr>
      </w:pPr>
      <w:r w:rsidRPr="00533650">
        <w:rPr>
          <w:rFonts w:ascii="TimesNewRoman" w:hAnsi="TimesNewRoman" w:cs="TimesNewRoman"/>
          <w:sz w:val="21"/>
          <w:szCs w:val="21"/>
          <w:lang w:eastAsia="en-ZA"/>
        </w:rPr>
        <w:t>The health component for 201</w:t>
      </w:r>
      <w:r w:rsidR="0079298A">
        <w:rPr>
          <w:rFonts w:ascii="TimesNewRoman" w:hAnsi="TimesNewRoman" w:cs="TimesNewRoman"/>
          <w:sz w:val="21"/>
          <w:szCs w:val="21"/>
          <w:lang w:eastAsia="en-ZA"/>
        </w:rPr>
        <w:t>5</w:t>
      </w:r>
      <w:r w:rsidRPr="00533650">
        <w:rPr>
          <w:rFonts w:ascii="TimesNewRoman" w:hAnsi="TimesNewRoman" w:cs="TimesNewRoman"/>
          <w:sz w:val="21"/>
          <w:szCs w:val="21"/>
          <w:lang w:eastAsia="en-ZA"/>
        </w:rPr>
        <w:t>/1</w:t>
      </w:r>
      <w:r w:rsidR="0079298A">
        <w:rPr>
          <w:rFonts w:ascii="TimesNewRoman" w:hAnsi="TimesNewRoman" w:cs="TimesNewRoman"/>
          <w:sz w:val="21"/>
          <w:szCs w:val="21"/>
          <w:lang w:eastAsia="en-ZA"/>
        </w:rPr>
        <w:t>6</w:t>
      </w:r>
      <w:r w:rsidRPr="00533650">
        <w:rPr>
          <w:rFonts w:ascii="TimesNewRoman" w:hAnsi="TimesNewRoman" w:cs="TimesNewRoman"/>
          <w:sz w:val="21"/>
          <w:szCs w:val="21"/>
          <w:lang w:eastAsia="en-ZA"/>
        </w:rPr>
        <w:t xml:space="preserve"> was updated with the 201</w:t>
      </w:r>
      <w:r w:rsidR="00660A75">
        <w:rPr>
          <w:rFonts w:ascii="TimesNewRoman" w:hAnsi="TimesNewRoman" w:cs="TimesNewRoman"/>
          <w:sz w:val="21"/>
          <w:szCs w:val="21"/>
          <w:lang w:eastAsia="en-ZA"/>
        </w:rPr>
        <w:t>3</w:t>
      </w:r>
      <w:r w:rsidRPr="00533650">
        <w:rPr>
          <w:rFonts w:ascii="TimesNewRoman" w:hAnsi="TimesNewRoman" w:cs="TimesNewRoman"/>
          <w:sz w:val="21"/>
          <w:szCs w:val="21"/>
          <w:lang w:eastAsia="en-ZA"/>
        </w:rPr>
        <w:t xml:space="preserve"> General Household Survey, 201</w:t>
      </w:r>
      <w:r w:rsidR="00E227F9">
        <w:rPr>
          <w:rFonts w:ascii="TimesNewRoman" w:hAnsi="TimesNewRoman" w:cs="TimesNewRoman"/>
          <w:sz w:val="21"/>
          <w:szCs w:val="21"/>
          <w:lang w:eastAsia="en-ZA"/>
        </w:rPr>
        <w:t>4</w:t>
      </w:r>
      <w:r w:rsidRPr="00533650">
        <w:rPr>
          <w:rFonts w:ascii="TimesNewRoman" w:hAnsi="TimesNewRoman" w:cs="TimesNewRoman"/>
          <w:sz w:val="21"/>
          <w:szCs w:val="21"/>
          <w:lang w:eastAsia="en-ZA"/>
        </w:rPr>
        <w:t xml:space="preserve"> </w:t>
      </w:r>
      <w:r w:rsidRPr="00533650">
        <w:rPr>
          <w:rFonts w:ascii="TimesNewRomanPSMT" w:hAnsi="TimesNewRomanPSMT" w:cs="TimesNewRomanPSMT"/>
          <w:sz w:val="21"/>
          <w:szCs w:val="21"/>
          <w:lang w:eastAsia="en-ZA"/>
        </w:rPr>
        <w:t xml:space="preserve">mid-year population estimates, </w:t>
      </w:r>
      <w:r w:rsidRPr="00533650">
        <w:rPr>
          <w:rFonts w:ascii="TimesNewRoman" w:hAnsi="TimesNewRoman" w:cs="TimesNewRoman"/>
          <w:sz w:val="21"/>
          <w:szCs w:val="21"/>
          <w:lang w:eastAsia="en-ZA"/>
        </w:rPr>
        <w:t xml:space="preserve">data from the </w:t>
      </w:r>
      <w:r w:rsidRPr="00533650">
        <w:rPr>
          <w:rFonts w:ascii="TimesNewRomanPSMT" w:hAnsi="TimesNewRomanPSMT" w:cs="TimesNewRomanPSMT"/>
          <w:sz w:val="21"/>
          <w:szCs w:val="21"/>
          <w:lang w:eastAsia="en-ZA"/>
        </w:rPr>
        <w:t xml:space="preserve">Council for Medical Schemes’ Risk Equalisation Fund, and District Health Information Services data for </w:t>
      </w:r>
      <w:r w:rsidR="00660A75">
        <w:rPr>
          <w:rFonts w:ascii="TimesNewRomanPSMT" w:hAnsi="TimesNewRomanPSMT" w:cs="TimesNewRomanPSMT"/>
          <w:sz w:val="21"/>
          <w:szCs w:val="21"/>
          <w:lang w:eastAsia="en-ZA"/>
        </w:rPr>
        <w:t>2012/13 and 2013</w:t>
      </w:r>
      <w:r w:rsidRPr="00533650">
        <w:rPr>
          <w:rFonts w:ascii="TimesNewRomanPSMT" w:hAnsi="TimesNewRomanPSMT" w:cs="TimesNewRomanPSMT"/>
          <w:sz w:val="21"/>
          <w:szCs w:val="21"/>
          <w:lang w:eastAsia="en-ZA"/>
        </w:rPr>
        <w:t>/1</w:t>
      </w:r>
      <w:r w:rsidR="00660A75">
        <w:rPr>
          <w:rFonts w:ascii="TimesNewRomanPSMT" w:hAnsi="TimesNewRomanPSMT" w:cs="TimesNewRomanPSMT"/>
          <w:sz w:val="21"/>
          <w:szCs w:val="21"/>
          <w:lang w:eastAsia="en-ZA"/>
        </w:rPr>
        <w:t>4</w:t>
      </w:r>
      <w:r w:rsidRPr="00533650">
        <w:rPr>
          <w:rFonts w:ascii="TimesNewRoman" w:hAnsi="TimesNewRoman" w:cs="TimesNewRoman"/>
          <w:sz w:val="21"/>
          <w:szCs w:val="21"/>
          <w:lang w:eastAsia="en-ZA"/>
        </w:rPr>
        <w:t>. The details of such updates are contained in pages 7</w:t>
      </w:r>
      <w:r w:rsidR="00660A75">
        <w:rPr>
          <w:rFonts w:ascii="TimesNewRoman" w:hAnsi="TimesNewRoman" w:cs="TimesNewRoman"/>
          <w:sz w:val="21"/>
          <w:szCs w:val="21"/>
          <w:lang w:eastAsia="en-ZA"/>
        </w:rPr>
        <w:t>9</w:t>
      </w:r>
      <w:r w:rsidRPr="00533650">
        <w:rPr>
          <w:rFonts w:ascii="TimesNewRoman" w:hAnsi="TimesNewRoman" w:cs="TimesNewRoman"/>
          <w:sz w:val="21"/>
          <w:szCs w:val="21"/>
          <w:lang w:eastAsia="en-ZA"/>
        </w:rPr>
        <w:t xml:space="preserve"> to </w:t>
      </w:r>
      <w:r w:rsidR="00660A75">
        <w:rPr>
          <w:rFonts w:ascii="TimesNewRoman" w:hAnsi="TimesNewRoman" w:cs="TimesNewRoman"/>
          <w:sz w:val="21"/>
          <w:szCs w:val="21"/>
          <w:lang w:eastAsia="en-ZA"/>
        </w:rPr>
        <w:t>80</w:t>
      </w:r>
      <w:r w:rsidRPr="00533650">
        <w:rPr>
          <w:rFonts w:ascii="TimesNewRoman" w:hAnsi="TimesNewRoman" w:cs="TimesNewRoman"/>
          <w:sz w:val="21"/>
          <w:szCs w:val="21"/>
          <w:lang w:eastAsia="en-ZA"/>
        </w:rPr>
        <w:t xml:space="preserve"> of the 201</w:t>
      </w:r>
      <w:r w:rsidR="00660A75">
        <w:rPr>
          <w:rFonts w:ascii="TimesNewRoman" w:hAnsi="TimesNewRoman" w:cs="TimesNewRoman"/>
          <w:sz w:val="21"/>
          <w:szCs w:val="21"/>
          <w:lang w:eastAsia="en-ZA"/>
        </w:rPr>
        <w:t>5</w:t>
      </w:r>
      <w:r w:rsidRPr="00533650">
        <w:rPr>
          <w:rFonts w:ascii="TimesNewRoman" w:hAnsi="TimesNewRoman" w:cs="TimesNewRoman"/>
          <w:sz w:val="21"/>
          <w:szCs w:val="21"/>
          <w:lang w:eastAsia="en-ZA"/>
        </w:rPr>
        <w:t xml:space="preserve"> Division of Revenue Bill.</w:t>
      </w:r>
    </w:p>
    <w:p w:rsidR="00F03D8E" w:rsidRPr="00BE18ED" w:rsidRDefault="00F03D8E" w:rsidP="001B6DEA">
      <w:pPr>
        <w:pStyle w:val="BodyTextIndent"/>
        <w:spacing w:line="240" w:lineRule="auto"/>
        <w:ind w:left="0" w:firstLine="0"/>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1E6902" w:rsidRPr="00BE18ED" w:rsidRDefault="001E6902" w:rsidP="001B0917">
      <w:pPr>
        <w:tabs>
          <w:tab w:val="left" w:pos="432"/>
          <w:tab w:val="left" w:pos="864"/>
        </w:tabs>
        <w:spacing w:line="276" w:lineRule="auto"/>
        <w:jc w:val="center"/>
        <w:rPr>
          <w:rFonts w:ascii="Arial" w:hAnsi="Arial" w:cs="Arial"/>
          <w:b/>
          <w:sz w:val="22"/>
          <w:szCs w:val="22"/>
        </w:rPr>
      </w:pPr>
    </w:p>
    <w:p w:rsidR="00B77F67" w:rsidRPr="00BE18ED" w:rsidRDefault="00B77F67" w:rsidP="001B0917">
      <w:pPr>
        <w:spacing w:line="276" w:lineRule="auto"/>
        <w:jc w:val="both"/>
        <w:rPr>
          <w:rFonts w:ascii="Arial" w:hAnsi="Arial" w:cs="Arial"/>
          <w:b/>
          <w:sz w:val="22"/>
          <w:szCs w:val="22"/>
        </w:rPr>
      </w:pPr>
    </w:p>
    <w:sectPr w:rsidR="00B77F67" w:rsidRPr="00BE18ED"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2225"/>
    <w:multiLevelType w:val="hybridMultilevel"/>
    <w:tmpl w:val="4F06F132"/>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
    <w:nsid w:val="55380BFE"/>
    <w:multiLevelType w:val="hybridMultilevel"/>
    <w:tmpl w:val="7FB855B2"/>
    <w:lvl w:ilvl="0" w:tplc="5AA629CA">
      <w:start w:val="1"/>
      <w:numFmt w:val="lowerRoman"/>
      <w:lvlText w:val="(%1)"/>
      <w:lvlJc w:val="left"/>
      <w:pPr>
        <w:ind w:left="1267" w:hanging="720"/>
      </w:pPr>
      <w:rPr>
        <w:rFonts w:hint="default"/>
      </w:r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2">
    <w:nsid w:val="61F078FF"/>
    <w:multiLevelType w:val="hybridMultilevel"/>
    <w:tmpl w:val="0DF822FE"/>
    <w:lvl w:ilvl="0" w:tplc="3FCE3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5"/>
    <w:rsid w:val="00014ECA"/>
    <w:rsid w:val="00020C04"/>
    <w:rsid w:val="000C48D8"/>
    <w:rsid w:val="000F3B14"/>
    <w:rsid w:val="001054B7"/>
    <w:rsid w:val="001433AE"/>
    <w:rsid w:val="0015727B"/>
    <w:rsid w:val="001713D2"/>
    <w:rsid w:val="001B0917"/>
    <w:rsid w:val="001B6DEA"/>
    <w:rsid w:val="001E3FB5"/>
    <w:rsid w:val="001E6902"/>
    <w:rsid w:val="00210635"/>
    <w:rsid w:val="002F6E86"/>
    <w:rsid w:val="003421BD"/>
    <w:rsid w:val="003751CD"/>
    <w:rsid w:val="003C3D23"/>
    <w:rsid w:val="003C5A27"/>
    <w:rsid w:val="004174B1"/>
    <w:rsid w:val="00417EFE"/>
    <w:rsid w:val="005141B3"/>
    <w:rsid w:val="00533650"/>
    <w:rsid w:val="00567DF8"/>
    <w:rsid w:val="00574E19"/>
    <w:rsid w:val="005B28E2"/>
    <w:rsid w:val="00613FC6"/>
    <w:rsid w:val="006239F1"/>
    <w:rsid w:val="00624D20"/>
    <w:rsid w:val="0062770E"/>
    <w:rsid w:val="00636B02"/>
    <w:rsid w:val="0064275F"/>
    <w:rsid w:val="00647EF2"/>
    <w:rsid w:val="00653A85"/>
    <w:rsid w:val="00660A75"/>
    <w:rsid w:val="007118EA"/>
    <w:rsid w:val="00726A9C"/>
    <w:rsid w:val="007359BF"/>
    <w:rsid w:val="007914E0"/>
    <w:rsid w:val="0079298A"/>
    <w:rsid w:val="007A32AF"/>
    <w:rsid w:val="007B1BA1"/>
    <w:rsid w:val="00844E61"/>
    <w:rsid w:val="00891265"/>
    <w:rsid w:val="008C2559"/>
    <w:rsid w:val="00911717"/>
    <w:rsid w:val="009163A5"/>
    <w:rsid w:val="0094227D"/>
    <w:rsid w:val="00953363"/>
    <w:rsid w:val="0096007E"/>
    <w:rsid w:val="00983677"/>
    <w:rsid w:val="009A18A7"/>
    <w:rsid w:val="009C671E"/>
    <w:rsid w:val="00A27751"/>
    <w:rsid w:val="00A525F0"/>
    <w:rsid w:val="00A72B9B"/>
    <w:rsid w:val="00AD00CE"/>
    <w:rsid w:val="00AD49C7"/>
    <w:rsid w:val="00AD5C9B"/>
    <w:rsid w:val="00B447E6"/>
    <w:rsid w:val="00B65F14"/>
    <w:rsid w:val="00B72845"/>
    <w:rsid w:val="00B77F67"/>
    <w:rsid w:val="00BA5822"/>
    <w:rsid w:val="00BD31C6"/>
    <w:rsid w:val="00BE18ED"/>
    <w:rsid w:val="00C25C7E"/>
    <w:rsid w:val="00C26073"/>
    <w:rsid w:val="00C312EA"/>
    <w:rsid w:val="00C44C35"/>
    <w:rsid w:val="00C60822"/>
    <w:rsid w:val="00C842A2"/>
    <w:rsid w:val="00CC2F3E"/>
    <w:rsid w:val="00D51FE5"/>
    <w:rsid w:val="00DB2463"/>
    <w:rsid w:val="00DC41DF"/>
    <w:rsid w:val="00DD5296"/>
    <w:rsid w:val="00DE526F"/>
    <w:rsid w:val="00DF0D26"/>
    <w:rsid w:val="00DF4577"/>
    <w:rsid w:val="00E02639"/>
    <w:rsid w:val="00E175BD"/>
    <w:rsid w:val="00E227F9"/>
    <w:rsid w:val="00E77612"/>
    <w:rsid w:val="00E77DF6"/>
    <w:rsid w:val="00E8352B"/>
    <w:rsid w:val="00EA6A49"/>
    <w:rsid w:val="00EF6A88"/>
    <w:rsid w:val="00F03D8E"/>
    <w:rsid w:val="00F46AD7"/>
    <w:rsid w:val="00F51C17"/>
    <w:rsid w:val="00F5571A"/>
    <w:rsid w:val="00F62311"/>
    <w:rsid w:val="00F87EA6"/>
    <w:rsid w:val="00FA6E12"/>
    <w:rsid w:val="00FC2064"/>
    <w:rsid w:val="00FF2F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844E61"/>
    <w:pPr>
      <w:ind w:left="720"/>
      <w:contextualSpacing/>
    </w:pPr>
  </w:style>
  <w:style w:type="paragraph" w:styleId="BalloonText">
    <w:name w:val="Balloon Text"/>
    <w:basedOn w:val="Normal"/>
    <w:link w:val="BalloonTextChar"/>
    <w:rsid w:val="00DE526F"/>
    <w:rPr>
      <w:rFonts w:ascii="Tahoma" w:hAnsi="Tahoma" w:cs="Tahoma"/>
      <w:sz w:val="16"/>
      <w:szCs w:val="16"/>
    </w:rPr>
  </w:style>
  <w:style w:type="character" w:customStyle="1" w:styleId="BalloonTextChar">
    <w:name w:val="Balloon Text Char"/>
    <w:basedOn w:val="DefaultParagraphFont"/>
    <w:link w:val="BalloonText"/>
    <w:rsid w:val="00DE52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844E61"/>
    <w:pPr>
      <w:ind w:left="720"/>
      <w:contextualSpacing/>
    </w:pPr>
  </w:style>
  <w:style w:type="paragraph" w:styleId="BalloonText">
    <w:name w:val="Balloon Text"/>
    <w:basedOn w:val="Normal"/>
    <w:link w:val="BalloonTextChar"/>
    <w:rsid w:val="00DE526F"/>
    <w:rPr>
      <w:rFonts w:ascii="Tahoma" w:hAnsi="Tahoma" w:cs="Tahoma"/>
      <w:sz w:val="16"/>
      <w:szCs w:val="16"/>
    </w:rPr>
  </w:style>
  <w:style w:type="character" w:customStyle="1" w:styleId="BalloonTextChar">
    <w:name w:val="Balloon Text Char"/>
    <w:basedOn w:val="DefaultParagraphFont"/>
    <w:link w:val="BalloonText"/>
    <w:rsid w:val="00DE52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CCB1-DE79-45AB-8163-FC5DFD84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2016-04-28T13:23:00Z</cp:lastPrinted>
  <dcterms:created xsi:type="dcterms:W3CDTF">2016-05-23T11:03:00Z</dcterms:created>
  <dcterms:modified xsi:type="dcterms:W3CDTF">2016-05-23T11:03:00Z</dcterms:modified>
</cp:coreProperties>
</file>