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2EA" w:rsidRPr="001B0917" w:rsidRDefault="00C312EA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1B0917">
        <w:rPr>
          <w:rFonts w:ascii="Arial" w:hAnsi="Arial" w:cs="Arial"/>
          <w:b/>
          <w:sz w:val="22"/>
          <w:szCs w:val="22"/>
        </w:rPr>
        <w:t>NATIONAL ASSEMBLY</w:t>
      </w:r>
    </w:p>
    <w:p w:rsidR="00C312EA" w:rsidRPr="001B0917" w:rsidRDefault="00C312EA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B0917">
        <w:rPr>
          <w:rFonts w:ascii="Arial" w:hAnsi="Arial" w:cs="Arial"/>
          <w:b/>
          <w:sz w:val="22"/>
          <w:szCs w:val="22"/>
        </w:rPr>
        <w:t>QUESTION FOR WRITTEN REPLY</w:t>
      </w:r>
    </w:p>
    <w:p w:rsidR="00AD00CE" w:rsidRPr="001B0917" w:rsidRDefault="00647EF2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B0917">
        <w:rPr>
          <w:rFonts w:ascii="Arial" w:hAnsi="Arial" w:cs="Arial"/>
          <w:b/>
          <w:sz w:val="22"/>
          <w:szCs w:val="22"/>
        </w:rPr>
        <w:t>QUESTION NUMBER</w:t>
      </w:r>
      <w:r w:rsidR="001B0917" w:rsidRPr="001B0917">
        <w:rPr>
          <w:rFonts w:ascii="Arial" w:hAnsi="Arial" w:cs="Arial"/>
          <w:b/>
          <w:sz w:val="22"/>
          <w:szCs w:val="22"/>
        </w:rPr>
        <w:t>:</w:t>
      </w:r>
      <w:r w:rsidRPr="001B0917">
        <w:rPr>
          <w:rFonts w:ascii="Arial" w:hAnsi="Arial" w:cs="Arial"/>
          <w:b/>
          <w:sz w:val="22"/>
          <w:szCs w:val="22"/>
        </w:rPr>
        <w:t xml:space="preserve"> </w:t>
      </w:r>
      <w:r w:rsidR="003567B1" w:rsidRPr="003567B1">
        <w:rPr>
          <w:rFonts w:ascii="Arial" w:hAnsi="Arial" w:cs="Arial"/>
          <w:b/>
          <w:sz w:val="22"/>
          <w:szCs w:val="22"/>
        </w:rPr>
        <w:t>1176</w:t>
      </w:r>
      <w:r w:rsidR="00AD00CE" w:rsidRPr="003567B1">
        <w:rPr>
          <w:rFonts w:ascii="Arial" w:hAnsi="Arial" w:cs="Arial"/>
          <w:b/>
          <w:sz w:val="22"/>
          <w:szCs w:val="22"/>
        </w:rPr>
        <w:t xml:space="preserve"> [</w:t>
      </w:r>
      <w:r w:rsidR="003567B1" w:rsidRPr="003567B1">
        <w:rPr>
          <w:rFonts w:ascii="Arial" w:hAnsi="Arial" w:cs="Arial"/>
          <w:b/>
          <w:sz w:val="22"/>
          <w:szCs w:val="22"/>
          <w:lang w:val="af-ZA"/>
        </w:rPr>
        <w:t>NW1315E</w:t>
      </w:r>
      <w:r w:rsidR="00AD00CE" w:rsidRPr="003567B1">
        <w:rPr>
          <w:rFonts w:ascii="Arial" w:hAnsi="Arial" w:cs="Arial"/>
          <w:b/>
          <w:sz w:val="22"/>
          <w:szCs w:val="22"/>
        </w:rPr>
        <w:t>]</w:t>
      </w:r>
    </w:p>
    <w:p w:rsidR="00C312EA" w:rsidRPr="001B0917" w:rsidRDefault="00BD31C6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B0917">
        <w:rPr>
          <w:rFonts w:ascii="Arial" w:hAnsi="Arial" w:cs="Arial"/>
          <w:b/>
          <w:sz w:val="22"/>
          <w:szCs w:val="22"/>
        </w:rPr>
        <w:t xml:space="preserve">DATE OF PUBLICATION: </w:t>
      </w:r>
      <w:r w:rsidR="003567B1" w:rsidRPr="003567B1">
        <w:rPr>
          <w:rFonts w:ascii="Arial" w:hAnsi="Arial" w:cs="Arial"/>
          <w:b/>
          <w:sz w:val="22"/>
          <w:szCs w:val="22"/>
        </w:rPr>
        <w:t>22 APRIL 2016</w:t>
      </w:r>
    </w:p>
    <w:p w:rsidR="0062770E" w:rsidRPr="001B0917" w:rsidRDefault="0062770E" w:rsidP="001B0917">
      <w:pPr>
        <w:pStyle w:val="BodyTextIndent"/>
        <w:spacing w:line="276" w:lineRule="auto"/>
        <w:ind w:left="0" w:firstLine="0"/>
        <w:rPr>
          <w:rFonts w:ascii="Arial" w:hAnsi="Arial" w:cs="Arial"/>
          <w:b/>
          <w:sz w:val="22"/>
          <w:szCs w:val="22"/>
        </w:rPr>
      </w:pPr>
    </w:p>
    <w:p w:rsidR="00020C04" w:rsidRPr="001B0917" w:rsidRDefault="00020C04" w:rsidP="001B0917">
      <w:pPr>
        <w:pStyle w:val="BodyTextIndent"/>
        <w:spacing w:line="276" w:lineRule="auto"/>
        <w:ind w:left="0" w:firstLine="0"/>
        <w:rPr>
          <w:rFonts w:ascii="Arial" w:hAnsi="Arial" w:cs="Arial"/>
          <w:b/>
          <w:sz w:val="22"/>
          <w:szCs w:val="22"/>
        </w:rPr>
      </w:pPr>
    </w:p>
    <w:p w:rsidR="003567B1" w:rsidRPr="003567B1" w:rsidRDefault="003567B1" w:rsidP="003567B1">
      <w:pPr>
        <w:tabs>
          <w:tab w:val="left" w:pos="567"/>
        </w:tabs>
        <w:jc w:val="both"/>
        <w:rPr>
          <w:rFonts w:ascii="Arial" w:hAnsi="Arial" w:cs="Arial"/>
          <w:b/>
          <w:sz w:val="22"/>
          <w:szCs w:val="22"/>
          <w:lang w:val="en-ZA"/>
        </w:rPr>
      </w:pPr>
      <w:r w:rsidRPr="003567B1">
        <w:rPr>
          <w:rFonts w:ascii="Arial" w:hAnsi="Arial" w:cs="Arial"/>
          <w:b/>
          <w:bCs/>
          <w:sz w:val="22"/>
          <w:szCs w:val="22"/>
          <w:lang w:val="en-GB"/>
        </w:rPr>
        <w:t>1176.     Dr H C Volmink (DA) to ask the Minister of Finance:</w:t>
      </w:r>
    </w:p>
    <w:p w:rsidR="003567B1" w:rsidRPr="003567B1" w:rsidRDefault="003567B1" w:rsidP="003567B1">
      <w:pPr>
        <w:tabs>
          <w:tab w:val="left" w:pos="567"/>
        </w:tabs>
        <w:jc w:val="both"/>
        <w:rPr>
          <w:rFonts w:ascii="Arial" w:hAnsi="Arial" w:cs="Arial"/>
          <w:b/>
          <w:sz w:val="22"/>
          <w:szCs w:val="22"/>
        </w:rPr>
      </w:pPr>
    </w:p>
    <w:p w:rsidR="003567B1" w:rsidRPr="003567B1" w:rsidRDefault="003567B1" w:rsidP="003567B1">
      <w:pPr>
        <w:jc w:val="both"/>
        <w:rPr>
          <w:rFonts w:ascii="Arial" w:hAnsi="Arial" w:cs="Arial"/>
          <w:sz w:val="22"/>
          <w:szCs w:val="22"/>
        </w:rPr>
      </w:pPr>
      <w:r w:rsidRPr="003567B1">
        <w:rPr>
          <w:rFonts w:ascii="Arial" w:hAnsi="Arial" w:cs="Arial"/>
          <w:sz w:val="22"/>
          <w:szCs w:val="22"/>
          <w:lang w:val="af-ZA"/>
        </w:rPr>
        <w:t>Has the National Treasury undertaken any benchmarking (a) studies and/or (b) exercises in relation to health service delivery (i) performance and (ii) expenditure in each province in the (aa) 2011-12, (bb) 2012-13, (cc) 2013-14, (dd) 2014-15 and (ee) 2015-16 financial years; if not, (aaa) why not and (bbb) will the specified (aaaa) studies and/or (bbbb) exercises be undertaken in the future; if so, how did the health service delivery (aaaaa) performance and (bbbbb) expenditure of each province compare to national health priorities during the specified financial years?</w:t>
      </w:r>
    </w:p>
    <w:p w:rsidR="003567B1" w:rsidRPr="005A7E36" w:rsidRDefault="003567B1" w:rsidP="003567B1">
      <w:pPr>
        <w:ind w:left="540"/>
        <w:jc w:val="both"/>
        <w:rPr>
          <w:rFonts w:ascii="Arial" w:hAnsi="Arial" w:cs="Arial"/>
          <w:sz w:val="20"/>
          <w:szCs w:val="20"/>
        </w:rPr>
      </w:pPr>
    </w:p>
    <w:p w:rsidR="005A7E36" w:rsidRPr="005A7E36" w:rsidRDefault="005A7E36" w:rsidP="005A7E36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5A7E36">
        <w:rPr>
          <w:rFonts w:ascii="Arial" w:hAnsi="Arial" w:cs="Arial"/>
          <w:sz w:val="20"/>
          <w:szCs w:val="20"/>
        </w:rPr>
        <w:tab/>
      </w:r>
      <w:r w:rsidRPr="005A7E36">
        <w:rPr>
          <w:rFonts w:ascii="Arial" w:hAnsi="Arial" w:cs="Arial"/>
          <w:sz w:val="20"/>
          <w:szCs w:val="20"/>
        </w:rPr>
        <w:tab/>
      </w:r>
      <w:r w:rsidRPr="005A7E36">
        <w:rPr>
          <w:rFonts w:ascii="Arial" w:hAnsi="Arial" w:cs="Arial"/>
          <w:sz w:val="20"/>
          <w:szCs w:val="20"/>
        </w:rPr>
        <w:tab/>
      </w:r>
      <w:r w:rsidRPr="005A7E36">
        <w:rPr>
          <w:rFonts w:ascii="Arial" w:hAnsi="Arial" w:cs="Arial"/>
          <w:sz w:val="20"/>
          <w:szCs w:val="20"/>
        </w:rPr>
        <w:tab/>
      </w:r>
      <w:r w:rsidRPr="005A7E36">
        <w:rPr>
          <w:rFonts w:ascii="Arial" w:hAnsi="Arial" w:cs="Arial"/>
          <w:sz w:val="20"/>
          <w:szCs w:val="20"/>
        </w:rPr>
        <w:tab/>
      </w:r>
      <w:r w:rsidRPr="005A7E36">
        <w:rPr>
          <w:rFonts w:ascii="Arial" w:hAnsi="Arial" w:cs="Arial"/>
          <w:sz w:val="20"/>
          <w:szCs w:val="20"/>
        </w:rPr>
        <w:tab/>
      </w:r>
      <w:r w:rsidRPr="005A7E36">
        <w:rPr>
          <w:rFonts w:ascii="Arial" w:hAnsi="Arial" w:cs="Arial"/>
          <w:sz w:val="20"/>
          <w:szCs w:val="20"/>
        </w:rPr>
        <w:tab/>
      </w:r>
      <w:r w:rsidRPr="005A7E36">
        <w:rPr>
          <w:rFonts w:ascii="Arial" w:hAnsi="Arial" w:cs="Arial"/>
          <w:sz w:val="20"/>
          <w:szCs w:val="20"/>
        </w:rPr>
        <w:tab/>
      </w:r>
      <w:r w:rsidRPr="005A7E36">
        <w:rPr>
          <w:rFonts w:ascii="Arial" w:hAnsi="Arial" w:cs="Arial"/>
          <w:sz w:val="20"/>
          <w:szCs w:val="20"/>
        </w:rPr>
        <w:tab/>
      </w:r>
      <w:r w:rsidRPr="005A7E36">
        <w:rPr>
          <w:rFonts w:ascii="Arial" w:hAnsi="Arial" w:cs="Arial"/>
          <w:sz w:val="20"/>
          <w:szCs w:val="20"/>
        </w:rPr>
        <w:tab/>
      </w:r>
      <w:r w:rsidRPr="005A7E36">
        <w:rPr>
          <w:rFonts w:ascii="Arial" w:hAnsi="Arial" w:cs="Arial"/>
          <w:sz w:val="20"/>
          <w:szCs w:val="20"/>
        </w:rPr>
        <w:tab/>
      </w:r>
      <w:r w:rsidRPr="005A7E36">
        <w:rPr>
          <w:rFonts w:ascii="Arial" w:hAnsi="Arial" w:cs="Arial"/>
          <w:sz w:val="20"/>
          <w:szCs w:val="20"/>
        </w:rPr>
        <w:tab/>
      </w:r>
      <w:r w:rsidRPr="005A7E36">
        <w:rPr>
          <w:rFonts w:ascii="Arial" w:hAnsi="Arial" w:cs="Arial"/>
          <w:sz w:val="20"/>
          <w:szCs w:val="20"/>
          <w:lang w:val="af-ZA"/>
        </w:rPr>
        <w:t>NW1315E</w:t>
      </w:r>
    </w:p>
    <w:p w:rsidR="005A7E36" w:rsidRPr="003567B1" w:rsidRDefault="005A7E36" w:rsidP="003567B1">
      <w:pPr>
        <w:ind w:left="540"/>
        <w:jc w:val="both"/>
        <w:rPr>
          <w:rFonts w:ascii="Arial" w:hAnsi="Arial" w:cs="Arial"/>
          <w:sz w:val="22"/>
          <w:szCs w:val="22"/>
        </w:rPr>
      </w:pPr>
    </w:p>
    <w:p w:rsidR="003567B1" w:rsidRPr="003567B1" w:rsidRDefault="003567B1" w:rsidP="003567B1">
      <w:pPr>
        <w:tabs>
          <w:tab w:val="num" w:pos="567"/>
        </w:tabs>
        <w:jc w:val="both"/>
        <w:rPr>
          <w:rFonts w:ascii="Arial" w:hAnsi="Arial" w:cs="Arial"/>
          <w:b/>
          <w:sz w:val="22"/>
          <w:szCs w:val="22"/>
        </w:rPr>
      </w:pPr>
      <w:r w:rsidRPr="003567B1">
        <w:rPr>
          <w:rFonts w:ascii="Arial" w:hAnsi="Arial" w:cs="Arial"/>
          <w:b/>
          <w:sz w:val="22"/>
          <w:szCs w:val="22"/>
          <w:lang w:val="en-GB"/>
        </w:rPr>
        <w:t>Response:</w:t>
      </w:r>
    </w:p>
    <w:p w:rsidR="003567B1" w:rsidRPr="00080E04" w:rsidRDefault="003567B1" w:rsidP="003567B1">
      <w:pPr>
        <w:tabs>
          <w:tab w:val="num" w:pos="567"/>
        </w:tabs>
        <w:jc w:val="both"/>
        <w:rPr>
          <w:rFonts w:ascii="Arial" w:hAnsi="Arial" w:cs="Arial"/>
          <w:b/>
          <w:i/>
          <w:sz w:val="22"/>
          <w:szCs w:val="22"/>
        </w:rPr>
      </w:pPr>
    </w:p>
    <w:p w:rsidR="00080E04" w:rsidRPr="00080E04" w:rsidRDefault="00080E04" w:rsidP="00080E04">
      <w:pPr>
        <w:pStyle w:val="ListParagraph"/>
        <w:numPr>
          <w:ilvl w:val="0"/>
          <w:numId w:val="11"/>
        </w:numPr>
        <w:spacing w:after="160"/>
        <w:ind w:left="284" w:hanging="284"/>
        <w:jc w:val="both"/>
        <w:rPr>
          <w:rFonts w:ascii="Arial" w:hAnsi="Arial" w:cs="Arial"/>
          <w:i/>
          <w:sz w:val="22"/>
          <w:szCs w:val="22"/>
          <w:lang w:val="en-GB"/>
        </w:rPr>
      </w:pPr>
      <w:r w:rsidRPr="00080E04">
        <w:rPr>
          <w:rFonts w:ascii="Arial" w:hAnsi="Arial" w:cs="Arial"/>
          <w:i/>
          <w:sz w:val="22"/>
          <w:szCs w:val="22"/>
        </w:rPr>
        <w:t xml:space="preserve">(b)(i) (ii) (aa) (bb) (cc) (dd) (ee)  </w:t>
      </w:r>
    </w:p>
    <w:p w:rsidR="005A7E36" w:rsidRPr="00080E04" w:rsidRDefault="003567B1" w:rsidP="00080E04">
      <w:pPr>
        <w:spacing w:after="160"/>
        <w:jc w:val="both"/>
        <w:rPr>
          <w:rFonts w:ascii="Arial" w:hAnsi="Arial" w:cs="Arial"/>
          <w:sz w:val="22"/>
          <w:szCs w:val="22"/>
          <w:lang w:val="en-GB"/>
        </w:rPr>
      </w:pPr>
      <w:r w:rsidRPr="00080E04">
        <w:rPr>
          <w:rFonts w:ascii="Arial" w:hAnsi="Arial" w:cs="Arial"/>
          <w:sz w:val="22"/>
          <w:szCs w:val="22"/>
        </w:rPr>
        <w:t>Yes</w:t>
      </w:r>
      <w:r w:rsidR="005A7E36" w:rsidRPr="00080E04">
        <w:rPr>
          <w:rFonts w:ascii="Arial" w:hAnsi="Arial" w:cs="Arial"/>
          <w:sz w:val="22"/>
          <w:szCs w:val="22"/>
        </w:rPr>
        <w:t xml:space="preserve">.  The </w:t>
      </w:r>
      <w:r w:rsidRPr="00080E04">
        <w:rPr>
          <w:rFonts w:ascii="Arial" w:hAnsi="Arial" w:cs="Arial"/>
          <w:sz w:val="22"/>
          <w:szCs w:val="22"/>
        </w:rPr>
        <w:t xml:space="preserve">National Treasury conducts benchmark exercises as part of the budget process on an annual basis and </w:t>
      </w:r>
      <w:r w:rsidR="005A7E36" w:rsidRPr="00080E04">
        <w:rPr>
          <w:rFonts w:ascii="Arial" w:hAnsi="Arial" w:cs="Arial"/>
          <w:sz w:val="22"/>
          <w:szCs w:val="22"/>
        </w:rPr>
        <w:t xml:space="preserve">has undertaken </w:t>
      </w:r>
      <w:r w:rsidRPr="00080E04">
        <w:rPr>
          <w:rFonts w:ascii="Arial" w:hAnsi="Arial" w:cs="Arial"/>
          <w:sz w:val="22"/>
          <w:szCs w:val="22"/>
        </w:rPr>
        <w:t>these exercises for each of the years specified</w:t>
      </w:r>
      <w:r w:rsidR="005A7E36" w:rsidRPr="00080E04">
        <w:rPr>
          <w:rFonts w:ascii="Arial" w:hAnsi="Arial" w:cs="Arial"/>
          <w:sz w:val="22"/>
          <w:szCs w:val="22"/>
        </w:rPr>
        <w:t xml:space="preserve">.  </w:t>
      </w:r>
      <w:r w:rsidRPr="00080E04">
        <w:rPr>
          <w:rFonts w:ascii="Arial" w:hAnsi="Arial" w:cs="Arial"/>
          <w:sz w:val="22"/>
          <w:szCs w:val="22"/>
          <w:lang w:val="en-GB"/>
        </w:rPr>
        <w:t>The benchmark exercises were introduced by the National Treasury in 2002 with a focus on analysing provincial budgets and expenditure to identify risk areas and bring these risks to the attention of provincial treasuries and to explore possible solutions with them.</w:t>
      </w:r>
    </w:p>
    <w:p w:rsidR="00080E04" w:rsidRPr="00080E04" w:rsidRDefault="00080E04" w:rsidP="00080E04">
      <w:pPr>
        <w:spacing w:after="160"/>
        <w:jc w:val="both"/>
        <w:rPr>
          <w:rFonts w:ascii="Arial" w:hAnsi="Arial" w:cs="Arial"/>
          <w:i/>
          <w:sz w:val="22"/>
          <w:szCs w:val="22"/>
          <w:lang w:val="en-GB"/>
        </w:rPr>
      </w:pPr>
    </w:p>
    <w:p w:rsidR="00080E04" w:rsidRPr="00080E04" w:rsidRDefault="00080E04" w:rsidP="00080E04">
      <w:pPr>
        <w:spacing w:after="160"/>
        <w:jc w:val="both"/>
        <w:rPr>
          <w:rFonts w:ascii="Arial" w:hAnsi="Arial" w:cs="Arial"/>
          <w:i/>
          <w:sz w:val="22"/>
          <w:szCs w:val="22"/>
          <w:lang w:val="en-GB"/>
        </w:rPr>
      </w:pPr>
      <w:r w:rsidRPr="00080E04">
        <w:rPr>
          <w:rFonts w:ascii="Arial" w:hAnsi="Arial" w:cs="Arial"/>
          <w:i/>
          <w:sz w:val="22"/>
          <w:szCs w:val="22"/>
          <w:lang w:val="en-GB"/>
        </w:rPr>
        <w:t>(</w:t>
      </w:r>
      <w:proofErr w:type="gramStart"/>
      <w:r w:rsidRPr="00080E04">
        <w:rPr>
          <w:rFonts w:ascii="Arial" w:hAnsi="Arial" w:cs="Arial"/>
          <w:i/>
          <w:sz w:val="22"/>
          <w:szCs w:val="22"/>
          <w:lang w:val="en-GB"/>
        </w:rPr>
        <w:t>aaa</w:t>
      </w:r>
      <w:proofErr w:type="gramEnd"/>
      <w:r w:rsidRPr="00080E04">
        <w:rPr>
          <w:rFonts w:ascii="Arial" w:hAnsi="Arial" w:cs="Arial"/>
          <w:i/>
          <w:sz w:val="22"/>
          <w:szCs w:val="22"/>
          <w:lang w:val="en-GB"/>
        </w:rPr>
        <w:t>) (</w:t>
      </w:r>
      <w:proofErr w:type="gramStart"/>
      <w:r w:rsidRPr="00080E04">
        <w:rPr>
          <w:rFonts w:ascii="Arial" w:hAnsi="Arial" w:cs="Arial"/>
          <w:i/>
          <w:sz w:val="22"/>
          <w:szCs w:val="22"/>
          <w:lang w:val="en-GB"/>
        </w:rPr>
        <w:t>bbb</w:t>
      </w:r>
      <w:proofErr w:type="gramEnd"/>
      <w:r w:rsidRPr="00080E04">
        <w:rPr>
          <w:rFonts w:ascii="Arial" w:hAnsi="Arial" w:cs="Arial"/>
          <w:i/>
          <w:sz w:val="22"/>
          <w:szCs w:val="22"/>
          <w:lang w:val="en-GB"/>
        </w:rPr>
        <w:t>) (</w:t>
      </w:r>
      <w:proofErr w:type="gramStart"/>
      <w:r w:rsidRPr="00080E04">
        <w:rPr>
          <w:rFonts w:ascii="Arial" w:hAnsi="Arial" w:cs="Arial"/>
          <w:i/>
          <w:sz w:val="22"/>
          <w:szCs w:val="22"/>
          <w:lang w:val="en-GB"/>
        </w:rPr>
        <w:t>aaaa</w:t>
      </w:r>
      <w:proofErr w:type="gramEnd"/>
      <w:r w:rsidRPr="00080E04">
        <w:rPr>
          <w:rFonts w:ascii="Arial" w:hAnsi="Arial" w:cs="Arial"/>
          <w:i/>
          <w:sz w:val="22"/>
          <w:szCs w:val="22"/>
          <w:lang w:val="en-GB"/>
        </w:rPr>
        <w:t>) (</w:t>
      </w:r>
      <w:proofErr w:type="gramStart"/>
      <w:r w:rsidRPr="00080E04">
        <w:rPr>
          <w:rFonts w:ascii="Arial" w:hAnsi="Arial" w:cs="Arial"/>
          <w:i/>
          <w:sz w:val="22"/>
          <w:szCs w:val="22"/>
          <w:lang w:val="en-GB"/>
        </w:rPr>
        <w:t>bbbb</w:t>
      </w:r>
      <w:proofErr w:type="gramEnd"/>
      <w:r w:rsidRPr="00080E04">
        <w:rPr>
          <w:rFonts w:ascii="Arial" w:hAnsi="Arial" w:cs="Arial"/>
          <w:i/>
          <w:sz w:val="22"/>
          <w:szCs w:val="22"/>
          <w:lang w:val="en-GB"/>
        </w:rPr>
        <w:t xml:space="preserve">) </w:t>
      </w:r>
    </w:p>
    <w:p w:rsidR="003567B1" w:rsidRPr="00080E04" w:rsidRDefault="003567B1" w:rsidP="00080E04">
      <w:pPr>
        <w:spacing w:after="160"/>
        <w:jc w:val="both"/>
        <w:rPr>
          <w:rFonts w:ascii="Arial" w:hAnsi="Arial" w:cs="Arial"/>
          <w:sz w:val="22"/>
          <w:szCs w:val="22"/>
          <w:lang w:val="en-GB"/>
        </w:rPr>
      </w:pPr>
      <w:r w:rsidRPr="00080E04">
        <w:rPr>
          <w:rFonts w:ascii="Arial" w:hAnsi="Arial" w:cs="Arial"/>
          <w:sz w:val="22"/>
          <w:szCs w:val="22"/>
          <w:lang w:val="en-GB"/>
        </w:rPr>
        <w:t xml:space="preserve">Amongst others, the benchmark exercises: </w:t>
      </w:r>
    </w:p>
    <w:p w:rsidR="003567B1" w:rsidRDefault="003567B1" w:rsidP="00080E04">
      <w:pPr>
        <w:pStyle w:val="ListParagraph"/>
        <w:numPr>
          <w:ilvl w:val="0"/>
          <w:numId w:val="5"/>
        </w:numPr>
        <w:spacing w:after="160"/>
        <w:ind w:left="576"/>
        <w:jc w:val="both"/>
        <w:rPr>
          <w:rFonts w:ascii="Arial" w:hAnsi="Arial" w:cs="Arial"/>
          <w:sz w:val="22"/>
          <w:szCs w:val="22"/>
          <w:lang w:val="en-GB"/>
        </w:rPr>
      </w:pPr>
      <w:r w:rsidRPr="005A7E36">
        <w:rPr>
          <w:rFonts w:ascii="Arial" w:hAnsi="Arial" w:cs="Arial"/>
          <w:sz w:val="22"/>
          <w:szCs w:val="22"/>
          <w:lang w:val="en-GB"/>
        </w:rPr>
        <w:t>Interrogate the assumptions behind draft programme allocations and alignment of budgets to national and provincial health policy priorities.</w:t>
      </w:r>
    </w:p>
    <w:p w:rsidR="005A7E36" w:rsidRPr="005A7E36" w:rsidRDefault="005A7E36" w:rsidP="00080E04">
      <w:pPr>
        <w:pStyle w:val="ListParagraph"/>
        <w:spacing w:after="160"/>
        <w:ind w:left="576"/>
        <w:jc w:val="both"/>
        <w:rPr>
          <w:rFonts w:ascii="Arial" w:hAnsi="Arial" w:cs="Arial"/>
          <w:sz w:val="22"/>
          <w:szCs w:val="22"/>
          <w:lang w:val="en-GB"/>
        </w:rPr>
      </w:pPr>
    </w:p>
    <w:p w:rsidR="005A7E36" w:rsidRDefault="003567B1" w:rsidP="00080E04">
      <w:pPr>
        <w:pStyle w:val="ListParagraph"/>
        <w:numPr>
          <w:ilvl w:val="0"/>
          <w:numId w:val="5"/>
        </w:numPr>
        <w:spacing w:after="160"/>
        <w:ind w:left="576"/>
        <w:jc w:val="both"/>
        <w:rPr>
          <w:rFonts w:ascii="Arial" w:hAnsi="Arial" w:cs="Arial"/>
          <w:sz w:val="22"/>
          <w:szCs w:val="22"/>
          <w:lang w:val="en-GB"/>
        </w:rPr>
      </w:pPr>
      <w:r w:rsidRPr="005A7E36">
        <w:rPr>
          <w:rFonts w:ascii="Arial" w:hAnsi="Arial" w:cs="Arial"/>
          <w:sz w:val="22"/>
          <w:szCs w:val="22"/>
          <w:lang w:val="en-GB"/>
        </w:rPr>
        <w:t>Assess how the sector is implementing cost saving measures and assess departmental budgets in view of a constrained fiscal envelope.</w:t>
      </w:r>
    </w:p>
    <w:p w:rsidR="005A7E36" w:rsidRPr="005A7E36" w:rsidRDefault="005A7E36" w:rsidP="00080E04">
      <w:pPr>
        <w:pStyle w:val="ListParagraph"/>
        <w:ind w:left="360"/>
        <w:rPr>
          <w:rFonts w:ascii="Arial" w:hAnsi="Arial" w:cs="Arial"/>
          <w:sz w:val="22"/>
          <w:szCs w:val="22"/>
          <w:lang w:val="en-GB"/>
        </w:rPr>
      </w:pPr>
    </w:p>
    <w:p w:rsidR="003567B1" w:rsidRPr="005A7E36" w:rsidRDefault="003567B1" w:rsidP="00080E04">
      <w:pPr>
        <w:pStyle w:val="ListParagraph"/>
        <w:numPr>
          <w:ilvl w:val="0"/>
          <w:numId w:val="5"/>
        </w:numPr>
        <w:spacing w:after="160"/>
        <w:ind w:left="576"/>
        <w:jc w:val="both"/>
        <w:rPr>
          <w:rFonts w:ascii="Arial" w:hAnsi="Arial" w:cs="Arial"/>
          <w:sz w:val="22"/>
          <w:szCs w:val="22"/>
          <w:lang w:val="en-GB"/>
        </w:rPr>
      </w:pPr>
      <w:r w:rsidRPr="005A7E36">
        <w:rPr>
          <w:rFonts w:ascii="Arial" w:hAnsi="Arial" w:cs="Arial"/>
          <w:sz w:val="22"/>
          <w:szCs w:val="22"/>
          <w:lang w:val="en-GB"/>
        </w:rPr>
        <w:t>Assess areas of risk in provincial budgets and provide feedback on areas where changes might be required.</w:t>
      </w:r>
    </w:p>
    <w:p w:rsidR="004B3F89" w:rsidRDefault="003A0D38" w:rsidP="00080E04">
      <w:p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Because the benchmark exercises cover an extremely wide range of areas it is not possible to provide a simplified answer whether provincial budgets do or do not comply with national priorities.</w:t>
      </w:r>
      <w:r w:rsidR="005A7E36">
        <w:rPr>
          <w:rFonts w:ascii="Arial" w:hAnsi="Arial" w:cs="Arial"/>
          <w:sz w:val="22"/>
          <w:szCs w:val="22"/>
          <w:lang w:val="en-GB"/>
        </w:rPr>
        <w:t xml:space="preserve">  </w:t>
      </w:r>
      <w:r>
        <w:rPr>
          <w:rFonts w:ascii="Arial" w:hAnsi="Arial" w:cs="Arial"/>
          <w:sz w:val="22"/>
          <w:szCs w:val="22"/>
          <w:lang w:val="en-GB"/>
        </w:rPr>
        <w:t xml:space="preserve">In general there is a reasonable degree of compliance but the benchmark </w:t>
      </w:r>
      <w:r w:rsidR="006A4F5F">
        <w:rPr>
          <w:rFonts w:ascii="Arial" w:hAnsi="Arial" w:cs="Arial"/>
          <w:sz w:val="22"/>
          <w:szCs w:val="22"/>
          <w:lang w:val="en-GB"/>
        </w:rPr>
        <w:t>exercises</w:t>
      </w:r>
      <w:r>
        <w:rPr>
          <w:rFonts w:ascii="Arial" w:hAnsi="Arial" w:cs="Arial"/>
          <w:sz w:val="22"/>
          <w:szCs w:val="22"/>
          <w:lang w:val="en-GB"/>
        </w:rPr>
        <w:t xml:space="preserve"> help to find risks and deviations and point these out to provinces to address.</w:t>
      </w:r>
      <w:r w:rsidR="005A7E36">
        <w:rPr>
          <w:rFonts w:ascii="Arial" w:hAnsi="Arial" w:cs="Arial"/>
          <w:sz w:val="22"/>
          <w:szCs w:val="22"/>
          <w:lang w:val="en-GB"/>
        </w:rPr>
        <w:t xml:space="preserve">  </w:t>
      </w:r>
      <w:r w:rsidR="00735ACB" w:rsidRPr="00735ACB">
        <w:rPr>
          <w:rFonts w:ascii="Arial" w:hAnsi="Arial" w:cs="Arial"/>
          <w:sz w:val="22"/>
          <w:szCs w:val="22"/>
          <w:lang w:val="en-GB"/>
        </w:rPr>
        <w:t xml:space="preserve">The non-negotiable budget items announced by the Minister of Health in 2012 have assisted the </w:t>
      </w:r>
      <w:r w:rsidR="005A7E36">
        <w:rPr>
          <w:rFonts w:ascii="Arial" w:hAnsi="Arial" w:cs="Arial"/>
          <w:sz w:val="22"/>
          <w:szCs w:val="22"/>
          <w:lang w:val="en-GB"/>
        </w:rPr>
        <w:t>N</w:t>
      </w:r>
      <w:r w:rsidR="00735ACB" w:rsidRPr="00735ACB">
        <w:rPr>
          <w:rFonts w:ascii="Arial" w:hAnsi="Arial" w:cs="Arial"/>
          <w:sz w:val="22"/>
          <w:szCs w:val="22"/>
          <w:lang w:val="en-GB"/>
        </w:rPr>
        <w:t>ational Department of Health and the National Treasury in advocating for appropriate budget allocations for prioritised spending areas that are critical to service delivery.</w:t>
      </w:r>
      <w:r w:rsidR="00735ACB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4B3F89" w:rsidRDefault="004B3F89" w:rsidP="00735ACB">
      <w:pPr>
        <w:ind w:left="567"/>
        <w:jc w:val="both"/>
        <w:rPr>
          <w:rFonts w:ascii="Arial" w:hAnsi="Arial" w:cs="Arial"/>
          <w:sz w:val="22"/>
          <w:szCs w:val="22"/>
          <w:lang w:val="en-GB"/>
        </w:rPr>
      </w:pPr>
    </w:p>
    <w:p w:rsidR="003A0D38" w:rsidRDefault="003A0D38" w:rsidP="00080E04">
      <w:p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As </w:t>
      </w:r>
      <w:r w:rsidR="005A7E36">
        <w:rPr>
          <w:rFonts w:ascii="Arial" w:hAnsi="Arial" w:cs="Arial"/>
          <w:sz w:val="22"/>
          <w:szCs w:val="22"/>
          <w:lang w:val="en-GB"/>
        </w:rPr>
        <w:t>an</w:t>
      </w:r>
      <w:r w:rsidR="0042624D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>example</w:t>
      </w:r>
      <w:r w:rsidR="004B3F89">
        <w:rPr>
          <w:rFonts w:ascii="Arial" w:hAnsi="Arial" w:cs="Arial"/>
          <w:sz w:val="22"/>
          <w:szCs w:val="22"/>
          <w:lang w:val="en-GB"/>
        </w:rPr>
        <w:t>,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="005A7E36">
        <w:rPr>
          <w:rFonts w:ascii="Arial" w:hAnsi="Arial" w:cs="Arial"/>
          <w:sz w:val="22"/>
          <w:szCs w:val="22"/>
          <w:lang w:val="en-GB"/>
        </w:rPr>
        <w:t>the t</w:t>
      </w:r>
      <w:r w:rsidR="000154A0">
        <w:rPr>
          <w:rFonts w:ascii="Arial" w:hAnsi="Arial" w:cs="Arial"/>
          <w:sz w:val="22"/>
          <w:szCs w:val="22"/>
          <w:lang w:val="en-GB"/>
        </w:rPr>
        <w:t>able below shows spending on medical supplies per capita uninsured person by province, which is a national priority.</w:t>
      </w:r>
      <w:r w:rsidR="005A7E36">
        <w:rPr>
          <w:rFonts w:ascii="Arial" w:hAnsi="Arial" w:cs="Arial"/>
          <w:sz w:val="22"/>
          <w:szCs w:val="22"/>
          <w:lang w:val="en-GB"/>
        </w:rPr>
        <w:t xml:space="preserve">  </w:t>
      </w:r>
      <w:r w:rsidR="000154A0">
        <w:rPr>
          <w:rFonts w:ascii="Arial" w:hAnsi="Arial" w:cs="Arial"/>
          <w:sz w:val="22"/>
          <w:szCs w:val="22"/>
          <w:lang w:val="en-GB"/>
        </w:rPr>
        <w:t>Limpopo’s budget was only R42 per uninsured person for 2016/17 compared to a national average of R152 per capita per year for medical supplies.</w:t>
      </w:r>
      <w:r w:rsidR="005A7E36">
        <w:rPr>
          <w:rFonts w:ascii="Arial" w:hAnsi="Arial" w:cs="Arial"/>
          <w:sz w:val="22"/>
          <w:szCs w:val="22"/>
          <w:lang w:val="en-GB"/>
        </w:rPr>
        <w:t xml:space="preserve">  </w:t>
      </w:r>
      <w:r w:rsidR="000154A0">
        <w:rPr>
          <w:rFonts w:ascii="Arial" w:hAnsi="Arial" w:cs="Arial"/>
          <w:sz w:val="22"/>
          <w:szCs w:val="22"/>
          <w:lang w:val="en-GB"/>
        </w:rPr>
        <w:t>Limpopo was th</w:t>
      </w:r>
      <w:r w:rsidR="006A4F5F">
        <w:rPr>
          <w:rFonts w:ascii="Arial" w:hAnsi="Arial" w:cs="Arial"/>
          <w:sz w:val="22"/>
          <w:szCs w:val="22"/>
          <w:lang w:val="en-GB"/>
        </w:rPr>
        <w:t>en</w:t>
      </w:r>
      <w:r w:rsidR="000154A0">
        <w:rPr>
          <w:rFonts w:ascii="Arial" w:hAnsi="Arial" w:cs="Arial"/>
          <w:sz w:val="22"/>
          <w:szCs w:val="22"/>
          <w:lang w:val="en-GB"/>
        </w:rPr>
        <w:t xml:space="preserve"> advised to address this risk in their budget. </w:t>
      </w:r>
    </w:p>
    <w:bookmarkStart w:id="1" w:name="_MON_1528102304"/>
    <w:bookmarkEnd w:id="1"/>
    <w:p w:rsidR="003A0D38" w:rsidRDefault="004B3F89" w:rsidP="005A7E36">
      <w:pPr>
        <w:spacing w:after="120"/>
        <w:ind w:left="567"/>
        <w:jc w:val="center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Cs w:val="22"/>
          <w:lang w:val="af-ZA"/>
        </w:rPr>
        <w:object w:dxaOrig="6098" w:dyaOrig="3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5.55pt;height:165.75pt" o:ole="">
            <v:imagedata r:id="rId7" o:title=""/>
            <o:lock v:ext="edit" aspectratio="f"/>
          </v:shape>
          <o:OLEObject Type="Embed" ProgID="Excel.Sheet.12" ShapeID="_x0000_i1025" DrawAspect="Content" ObjectID="_1529747954" r:id="rId8"/>
        </w:object>
      </w:r>
    </w:p>
    <w:p w:rsidR="004B3F89" w:rsidRDefault="004B3F89" w:rsidP="00735ACB">
      <w:pPr>
        <w:ind w:left="567"/>
        <w:jc w:val="both"/>
        <w:rPr>
          <w:rFonts w:ascii="Arial" w:hAnsi="Arial" w:cs="Arial"/>
          <w:sz w:val="22"/>
          <w:szCs w:val="22"/>
          <w:lang w:val="en-GB"/>
        </w:rPr>
      </w:pPr>
    </w:p>
    <w:p w:rsidR="003567B1" w:rsidRDefault="003567B1" w:rsidP="00080E04">
      <w:pPr>
        <w:jc w:val="both"/>
        <w:rPr>
          <w:rFonts w:ascii="Arial" w:hAnsi="Arial" w:cs="Arial"/>
          <w:sz w:val="22"/>
          <w:szCs w:val="22"/>
          <w:lang w:val="en-GB"/>
        </w:rPr>
      </w:pPr>
      <w:r w:rsidRPr="003567B1">
        <w:rPr>
          <w:rFonts w:ascii="Arial" w:hAnsi="Arial" w:cs="Arial"/>
          <w:sz w:val="22"/>
          <w:szCs w:val="22"/>
          <w:lang w:val="en-GB"/>
        </w:rPr>
        <w:t>It is important to emphasise that the benchmarking exercise mainly focuses on budget</w:t>
      </w:r>
      <w:r w:rsidR="00735ACB">
        <w:rPr>
          <w:rFonts w:ascii="Arial" w:hAnsi="Arial" w:cs="Arial"/>
          <w:sz w:val="22"/>
          <w:szCs w:val="22"/>
          <w:lang w:val="en-GB"/>
        </w:rPr>
        <w:t>s</w:t>
      </w:r>
      <w:r w:rsidRPr="003567B1">
        <w:rPr>
          <w:rFonts w:ascii="Arial" w:hAnsi="Arial" w:cs="Arial"/>
          <w:sz w:val="22"/>
          <w:szCs w:val="22"/>
          <w:lang w:val="en-GB"/>
        </w:rPr>
        <w:t xml:space="preserve"> and expenditure.</w:t>
      </w:r>
      <w:r w:rsidR="005A7E36">
        <w:rPr>
          <w:rFonts w:ascii="Arial" w:hAnsi="Arial" w:cs="Arial"/>
          <w:sz w:val="22"/>
          <w:szCs w:val="22"/>
          <w:lang w:val="en-GB"/>
        </w:rPr>
        <w:t xml:space="preserve">  As such, the</w:t>
      </w:r>
      <w:r w:rsidRPr="003567B1">
        <w:rPr>
          <w:rFonts w:ascii="Arial" w:hAnsi="Arial" w:cs="Arial"/>
          <w:sz w:val="22"/>
          <w:szCs w:val="22"/>
          <w:lang w:val="en-GB"/>
        </w:rPr>
        <w:t xml:space="preserve"> </w:t>
      </w:r>
      <w:r w:rsidR="005A7E36">
        <w:rPr>
          <w:rFonts w:ascii="Arial" w:hAnsi="Arial" w:cs="Arial"/>
          <w:sz w:val="22"/>
          <w:szCs w:val="22"/>
          <w:lang w:val="en-GB"/>
        </w:rPr>
        <w:t>N</w:t>
      </w:r>
      <w:r w:rsidRPr="003567B1">
        <w:rPr>
          <w:rFonts w:ascii="Arial" w:hAnsi="Arial" w:cs="Arial"/>
          <w:sz w:val="22"/>
          <w:szCs w:val="22"/>
          <w:lang w:val="en-GB"/>
        </w:rPr>
        <w:t>ational Department of Health and the Department of Performance and Monitoring evaluation will be better placed to respond to detailed performance benchmarking questions.</w:t>
      </w:r>
    </w:p>
    <w:p w:rsidR="001900D8" w:rsidRPr="003567B1" w:rsidRDefault="001900D8" w:rsidP="00735ACB">
      <w:pPr>
        <w:ind w:left="567"/>
        <w:jc w:val="both"/>
        <w:rPr>
          <w:rFonts w:ascii="Arial" w:hAnsi="Arial" w:cs="Arial"/>
          <w:sz w:val="22"/>
          <w:szCs w:val="22"/>
          <w:lang w:val="en-GB"/>
        </w:rPr>
      </w:pPr>
    </w:p>
    <w:p w:rsidR="003567B1" w:rsidRDefault="003567B1" w:rsidP="00080E04">
      <w:pPr>
        <w:jc w:val="both"/>
        <w:rPr>
          <w:rFonts w:ascii="Arial" w:hAnsi="Arial" w:cs="Arial"/>
          <w:sz w:val="22"/>
          <w:szCs w:val="22"/>
          <w:lang w:val="en-GB"/>
        </w:rPr>
      </w:pPr>
      <w:r w:rsidRPr="003567B1">
        <w:rPr>
          <w:rFonts w:ascii="Arial" w:hAnsi="Arial" w:cs="Arial"/>
          <w:sz w:val="22"/>
          <w:szCs w:val="22"/>
          <w:lang w:val="en-GB"/>
        </w:rPr>
        <w:t xml:space="preserve">At times the National Treasury has conducted the health sector benchmark exercise in partnership with the </w:t>
      </w:r>
      <w:r w:rsidR="005A7E36">
        <w:rPr>
          <w:rFonts w:ascii="Arial" w:hAnsi="Arial" w:cs="Arial"/>
          <w:sz w:val="22"/>
          <w:szCs w:val="22"/>
          <w:lang w:val="en-GB"/>
        </w:rPr>
        <w:t>N</w:t>
      </w:r>
      <w:r w:rsidRPr="003567B1">
        <w:rPr>
          <w:rFonts w:ascii="Arial" w:hAnsi="Arial" w:cs="Arial"/>
          <w:sz w:val="22"/>
          <w:szCs w:val="22"/>
          <w:lang w:val="en-GB"/>
        </w:rPr>
        <w:t xml:space="preserve">ational Department of Health and in several years whole day benchmarking meetings were held with all nine provincial Departments of Health and </w:t>
      </w:r>
      <w:r w:rsidR="00735ACB">
        <w:rPr>
          <w:rFonts w:ascii="Arial" w:hAnsi="Arial" w:cs="Arial"/>
          <w:sz w:val="22"/>
          <w:szCs w:val="22"/>
          <w:lang w:val="en-GB"/>
        </w:rPr>
        <w:t xml:space="preserve">provincial </w:t>
      </w:r>
      <w:r w:rsidRPr="003567B1">
        <w:rPr>
          <w:rFonts w:ascii="Arial" w:hAnsi="Arial" w:cs="Arial"/>
          <w:sz w:val="22"/>
          <w:szCs w:val="22"/>
          <w:lang w:val="en-GB"/>
        </w:rPr>
        <w:t>Treasur</w:t>
      </w:r>
      <w:r w:rsidR="00735ACB">
        <w:rPr>
          <w:rFonts w:ascii="Arial" w:hAnsi="Arial" w:cs="Arial"/>
          <w:sz w:val="22"/>
          <w:szCs w:val="22"/>
          <w:lang w:val="en-GB"/>
        </w:rPr>
        <w:t>ies</w:t>
      </w:r>
      <w:r w:rsidRPr="003567B1">
        <w:rPr>
          <w:rFonts w:ascii="Arial" w:hAnsi="Arial" w:cs="Arial"/>
          <w:sz w:val="22"/>
          <w:szCs w:val="22"/>
          <w:lang w:val="en-GB"/>
        </w:rPr>
        <w:t xml:space="preserve">.  </w:t>
      </w:r>
    </w:p>
    <w:p w:rsidR="00080E04" w:rsidRDefault="00080E04" w:rsidP="005A7E36">
      <w:pPr>
        <w:spacing w:after="160"/>
        <w:ind w:left="567"/>
        <w:jc w:val="both"/>
        <w:rPr>
          <w:rFonts w:ascii="Arial" w:hAnsi="Arial" w:cs="Arial"/>
          <w:sz w:val="22"/>
          <w:szCs w:val="22"/>
        </w:rPr>
      </w:pPr>
    </w:p>
    <w:p w:rsidR="00080E04" w:rsidRPr="00080E04" w:rsidRDefault="00080E04" w:rsidP="00080E04">
      <w:pPr>
        <w:spacing w:after="160"/>
        <w:jc w:val="both"/>
        <w:rPr>
          <w:rFonts w:ascii="Arial" w:hAnsi="Arial" w:cs="Arial"/>
          <w:i/>
          <w:sz w:val="22"/>
          <w:szCs w:val="22"/>
        </w:rPr>
      </w:pPr>
      <w:r w:rsidRPr="00080E04">
        <w:rPr>
          <w:rFonts w:ascii="Arial" w:hAnsi="Arial" w:cs="Arial"/>
          <w:i/>
          <w:sz w:val="22"/>
          <w:szCs w:val="22"/>
        </w:rPr>
        <w:t>(</w:t>
      </w:r>
      <w:proofErr w:type="gramStart"/>
      <w:r w:rsidRPr="00080E04">
        <w:rPr>
          <w:rFonts w:ascii="Arial" w:hAnsi="Arial" w:cs="Arial"/>
          <w:i/>
          <w:sz w:val="22"/>
          <w:szCs w:val="22"/>
        </w:rPr>
        <w:t>aaaaa</w:t>
      </w:r>
      <w:proofErr w:type="gramEnd"/>
      <w:r w:rsidRPr="00080E04">
        <w:rPr>
          <w:rFonts w:ascii="Arial" w:hAnsi="Arial" w:cs="Arial"/>
          <w:i/>
          <w:sz w:val="22"/>
          <w:szCs w:val="22"/>
        </w:rPr>
        <w:t xml:space="preserve">) </w:t>
      </w:r>
    </w:p>
    <w:p w:rsidR="00080E04" w:rsidRDefault="003567B1" w:rsidP="00080E04">
      <w:pPr>
        <w:spacing w:after="160"/>
        <w:jc w:val="both"/>
        <w:rPr>
          <w:rFonts w:ascii="Arial" w:hAnsi="Arial" w:cs="Arial"/>
          <w:sz w:val="22"/>
          <w:szCs w:val="22"/>
        </w:rPr>
      </w:pPr>
      <w:r w:rsidRPr="00735ACB">
        <w:rPr>
          <w:rFonts w:ascii="Arial" w:hAnsi="Arial" w:cs="Arial"/>
          <w:sz w:val="22"/>
          <w:szCs w:val="22"/>
        </w:rPr>
        <w:t xml:space="preserve">The National Treasury also publishes, approximately every second year, </w:t>
      </w:r>
      <w:r w:rsidRPr="003567B1">
        <w:rPr>
          <w:rFonts w:ascii="Arial" w:hAnsi="Arial" w:cs="Arial"/>
          <w:sz w:val="22"/>
          <w:szCs w:val="22"/>
        </w:rPr>
        <w:t xml:space="preserve">a comprehensive review of provincial budgets and expenditure, known as the </w:t>
      </w:r>
      <w:r w:rsidR="00735ACB">
        <w:rPr>
          <w:rFonts w:ascii="Arial" w:hAnsi="Arial" w:cs="Arial"/>
          <w:sz w:val="22"/>
          <w:szCs w:val="22"/>
        </w:rPr>
        <w:t xml:space="preserve">Provincial Budgets and Expenditure </w:t>
      </w:r>
      <w:r w:rsidRPr="003567B1">
        <w:rPr>
          <w:rFonts w:ascii="Arial" w:hAnsi="Arial" w:cs="Arial"/>
          <w:sz w:val="22"/>
          <w:szCs w:val="22"/>
        </w:rPr>
        <w:t>Review.</w:t>
      </w:r>
      <w:r w:rsidR="00080E04">
        <w:rPr>
          <w:rFonts w:ascii="Arial" w:hAnsi="Arial" w:cs="Arial"/>
          <w:sz w:val="22"/>
          <w:szCs w:val="22"/>
        </w:rPr>
        <w:t xml:space="preserve">  </w:t>
      </w:r>
      <w:r w:rsidRPr="003567B1">
        <w:rPr>
          <w:rFonts w:ascii="Arial" w:hAnsi="Arial" w:cs="Arial"/>
          <w:sz w:val="22"/>
          <w:szCs w:val="22"/>
        </w:rPr>
        <w:t xml:space="preserve">The last review was published in </w:t>
      </w:r>
      <w:r w:rsidR="00735ACB">
        <w:rPr>
          <w:rFonts w:ascii="Arial" w:hAnsi="Arial" w:cs="Arial"/>
          <w:sz w:val="22"/>
          <w:szCs w:val="22"/>
        </w:rPr>
        <w:t>December 2014</w:t>
      </w:r>
      <w:r w:rsidRPr="003567B1">
        <w:rPr>
          <w:rFonts w:ascii="Arial" w:hAnsi="Arial" w:cs="Arial"/>
          <w:sz w:val="22"/>
          <w:szCs w:val="22"/>
        </w:rPr>
        <w:t xml:space="preserve"> and covered details of health sector spending for financial years from 2010/11 to 2016/17.</w:t>
      </w:r>
      <w:r w:rsidR="00080E04">
        <w:rPr>
          <w:rFonts w:ascii="Arial" w:hAnsi="Arial" w:cs="Arial"/>
          <w:sz w:val="22"/>
          <w:szCs w:val="22"/>
        </w:rPr>
        <w:t xml:space="preserve">  </w:t>
      </w:r>
      <w:r w:rsidRPr="003567B1">
        <w:rPr>
          <w:rFonts w:ascii="Arial" w:hAnsi="Arial" w:cs="Arial"/>
          <w:sz w:val="22"/>
          <w:szCs w:val="22"/>
        </w:rPr>
        <w:t>Th</w:t>
      </w:r>
      <w:r w:rsidR="000A36CB">
        <w:rPr>
          <w:rFonts w:ascii="Arial" w:hAnsi="Arial" w:cs="Arial"/>
          <w:sz w:val="22"/>
          <w:szCs w:val="22"/>
        </w:rPr>
        <w:t xml:space="preserve">ese </w:t>
      </w:r>
      <w:r w:rsidRPr="003567B1">
        <w:rPr>
          <w:rFonts w:ascii="Arial" w:hAnsi="Arial" w:cs="Arial"/>
          <w:sz w:val="22"/>
          <w:szCs w:val="22"/>
        </w:rPr>
        <w:t>review</w:t>
      </w:r>
      <w:r w:rsidR="003A0D38">
        <w:rPr>
          <w:rFonts w:ascii="Arial" w:hAnsi="Arial" w:cs="Arial"/>
          <w:sz w:val="22"/>
          <w:szCs w:val="22"/>
        </w:rPr>
        <w:t>s</w:t>
      </w:r>
      <w:r w:rsidRPr="003567B1">
        <w:rPr>
          <w:rFonts w:ascii="Arial" w:hAnsi="Arial" w:cs="Arial"/>
          <w:sz w:val="22"/>
          <w:szCs w:val="22"/>
        </w:rPr>
        <w:t xml:space="preserve"> contain numerous comparative indicators </w:t>
      </w:r>
      <w:r w:rsidR="000A36CB">
        <w:rPr>
          <w:rFonts w:ascii="Arial" w:hAnsi="Arial" w:cs="Arial"/>
          <w:sz w:val="22"/>
          <w:szCs w:val="22"/>
        </w:rPr>
        <w:t>in</w:t>
      </w:r>
      <w:r w:rsidRPr="003567B1">
        <w:rPr>
          <w:rFonts w:ascii="Arial" w:hAnsi="Arial" w:cs="Arial"/>
          <w:sz w:val="22"/>
          <w:szCs w:val="22"/>
        </w:rPr>
        <w:t xml:space="preserve"> </w:t>
      </w:r>
      <w:r w:rsidR="00735ACB">
        <w:rPr>
          <w:rFonts w:ascii="Arial" w:hAnsi="Arial" w:cs="Arial"/>
          <w:sz w:val="22"/>
          <w:szCs w:val="22"/>
        </w:rPr>
        <w:t xml:space="preserve">the </w:t>
      </w:r>
      <w:r w:rsidRPr="003567B1">
        <w:rPr>
          <w:rFonts w:ascii="Arial" w:hAnsi="Arial" w:cs="Arial"/>
          <w:sz w:val="22"/>
          <w:szCs w:val="22"/>
        </w:rPr>
        <w:t>health chapter</w:t>
      </w:r>
      <w:r w:rsidR="008E5B69" w:rsidRPr="008E5B69">
        <w:rPr>
          <w:rFonts w:ascii="Arial" w:hAnsi="Arial" w:cs="Arial"/>
          <w:sz w:val="22"/>
          <w:szCs w:val="22"/>
        </w:rPr>
        <w:t xml:space="preserve"> which is available on </w:t>
      </w:r>
      <w:r w:rsidR="00080E04">
        <w:rPr>
          <w:rFonts w:ascii="Arial" w:hAnsi="Arial" w:cs="Arial"/>
          <w:sz w:val="22"/>
          <w:szCs w:val="22"/>
        </w:rPr>
        <w:t xml:space="preserve">the </w:t>
      </w:r>
      <w:r w:rsidR="008E5B69" w:rsidRPr="008E5B69">
        <w:rPr>
          <w:rFonts w:ascii="Arial" w:hAnsi="Arial" w:cs="Arial"/>
          <w:sz w:val="22"/>
          <w:szCs w:val="22"/>
        </w:rPr>
        <w:t>National Treasury’s website</w:t>
      </w:r>
      <w:r w:rsidR="00080E04">
        <w:rPr>
          <w:rFonts w:ascii="Arial" w:hAnsi="Arial" w:cs="Arial"/>
          <w:sz w:val="22"/>
          <w:szCs w:val="22"/>
        </w:rPr>
        <w:t xml:space="preserve"> </w:t>
      </w:r>
      <w:r w:rsidR="008E5B69" w:rsidRPr="008E5B69">
        <w:rPr>
          <w:rFonts w:ascii="Arial" w:hAnsi="Arial" w:cs="Arial"/>
          <w:sz w:val="22"/>
          <w:szCs w:val="22"/>
        </w:rPr>
        <w:t>at</w:t>
      </w:r>
      <w:r w:rsidR="00735ACB" w:rsidRPr="00735ACB">
        <w:t xml:space="preserve"> </w:t>
      </w:r>
      <w:hyperlink r:id="rId9" w:history="1">
        <w:r w:rsidR="00735ACB" w:rsidRPr="00C409DB">
          <w:rPr>
            <w:rStyle w:val="Hyperlink"/>
            <w:rFonts w:ascii="Arial" w:hAnsi="Arial" w:cs="Arial"/>
            <w:sz w:val="22"/>
            <w:szCs w:val="22"/>
          </w:rPr>
          <w:t>http://www.treasury.gov.za/publications/igfr/2015/default.aspx</w:t>
        </w:r>
      </w:hyperlink>
      <w:r w:rsidR="00735ACB">
        <w:rPr>
          <w:rFonts w:ascii="Arial" w:hAnsi="Arial" w:cs="Arial"/>
          <w:sz w:val="22"/>
          <w:szCs w:val="22"/>
        </w:rPr>
        <w:t>.</w:t>
      </w:r>
    </w:p>
    <w:p w:rsidR="00080E04" w:rsidRDefault="00080E04" w:rsidP="00080E04">
      <w:pPr>
        <w:spacing w:after="160"/>
        <w:jc w:val="both"/>
        <w:rPr>
          <w:rFonts w:ascii="Arial" w:hAnsi="Arial" w:cs="Arial"/>
          <w:sz w:val="22"/>
          <w:szCs w:val="22"/>
        </w:rPr>
      </w:pPr>
    </w:p>
    <w:p w:rsidR="00080E04" w:rsidRPr="00080E04" w:rsidRDefault="008E5B69" w:rsidP="00080E04">
      <w:pPr>
        <w:spacing w:after="160"/>
        <w:jc w:val="both"/>
        <w:rPr>
          <w:rFonts w:ascii="Arial" w:hAnsi="Arial" w:cs="Arial"/>
          <w:i/>
          <w:sz w:val="22"/>
          <w:szCs w:val="22"/>
        </w:rPr>
      </w:pPr>
      <w:r w:rsidRPr="00080E04">
        <w:rPr>
          <w:rFonts w:ascii="Arial" w:hAnsi="Arial" w:cs="Arial"/>
          <w:i/>
          <w:sz w:val="22"/>
          <w:szCs w:val="22"/>
        </w:rPr>
        <w:t>(</w:t>
      </w:r>
      <w:proofErr w:type="gramStart"/>
      <w:r w:rsidRPr="00080E04">
        <w:rPr>
          <w:rFonts w:ascii="Arial" w:hAnsi="Arial" w:cs="Arial"/>
          <w:i/>
          <w:sz w:val="22"/>
          <w:szCs w:val="22"/>
        </w:rPr>
        <w:t>bbbbb</w:t>
      </w:r>
      <w:proofErr w:type="gramEnd"/>
      <w:r w:rsidRPr="00080E04">
        <w:rPr>
          <w:rFonts w:ascii="Arial" w:hAnsi="Arial" w:cs="Arial"/>
          <w:i/>
          <w:sz w:val="22"/>
          <w:szCs w:val="22"/>
        </w:rPr>
        <w:t>)</w:t>
      </w:r>
    </w:p>
    <w:p w:rsidR="008E5B69" w:rsidRPr="00735ACB" w:rsidRDefault="00080E04" w:rsidP="00080E04">
      <w:pPr>
        <w:spacing w:after="1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8E5B69" w:rsidRPr="008E5B69">
        <w:rPr>
          <w:rFonts w:ascii="Arial" w:hAnsi="Arial" w:cs="Arial"/>
          <w:sz w:val="22"/>
          <w:szCs w:val="22"/>
        </w:rPr>
        <w:t xml:space="preserve">he </w:t>
      </w:r>
      <w:r w:rsidR="00735ACB" w:rsidRPr="008E5B69">
        <w:rPr>
          <w:rFonts w:ascii="Arial" w:hAnsi="Arial" w:cs="Arial"/>
          <w:sz w:val="22"/>
          <w:szCs w:val="22"/>
        </w:rPr>
        <w:t>review also reflects</w:t>
      </w:r>
      <w:r w:rsidR="008E5B69" w:rsidRPr="008E5B69">
        <w:rPr>
          <w:rFonts w:ascii="Arial" w:hAnsi="Arial" w:cs="Arial"/>
          <w:sz w:val="22"/>
          <w:szCs w:val="22"/>
        </w:rPr>
        <w:t xml:space="preserve"> that substantial portion of the provincial expenditure is in line with the national health priorities.</w:t>
      </w:r>
    </w:p>
    <w:p w:rsidR="001B0917" w:rsidRDefault="001B0917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B77F67" w:rsidRPr="001B0917" w:rsidRDefault="00B77F67" w:rsidP="00C652A9">
      <w:pPr>
        <w:rPr>
          <w:rFonts w:ascii="Arial" w:hAnsi="Arial" w:cs="Arial"/>
          <w:b/>
          <w:sz w:val="22"/>
          <w:szCs w:val="22"/>
        </w:rPr>
      </w:pPr>
    </w:p>
    <w:sectPr w:rsidR="00B77F67" w:rsidRPr="001B0917" w:rsidSect="00735ACB">
      <w:pgSz w:w="11907" w:h="16840" w:code="9"/>
      <w:pgMar w:top="1418" w:right="1418" w:bottom="993" w:left="141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C70AB"/>
    <w:multiLevelType w:val="multilevel"/>
    <w:tmpl w:val="E2F22420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21B8571B"/>
    <w:multiLevelType w:val="hybridMultilevel"/>
    <w:tmpl w:val="759C7678"/>
    <w:lvl w:ilvl="0" w:tplc="9BFA438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DE53AE9"/>
    <w:multiLevelType w:val="hybridMultilevel"/>
    <w:tmpl w:val="7CF08D54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3F072AC9"/>
    <w:multiLevelType w:val="hybridMultilevel"/>
    <w:tmpl w:val="F5543DC8"/>
    <w:lvl w:ilvl="0" w:tplc="3B72F3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4F1D1D"/>
    <w:multiLevelType w:val="hybridMultilevel"/>
    <w:tmpl w:val="1274669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BA028F"/>
    <w:multiLevelType w:val="hybridMultilevel"/>
    <w:tmpl w:val="D018A768"/>
    <w:lvl w:ilvl="0" w:tplc="6F602BE2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637E2FF5"/>
    <w:multiLevelType w:val="hybridMultilevel"/>
    <w:tmpl w:val="AA0051E6"/>
    <w:lvl w:ilvl="0" w:tplc="98D6E4FE">
      <w:start w:val="1"/>
      <w:numFmt w:val="lowerLetter"/>
      <w:lvlText w:val="%1."/>
      <w:lvlJc w:val="left"/>
      <w:pPr>
        <w:ind w:left="1438" w:hanging="576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942" w:hanging="360"/>
      </w:pPr>
    </w:lvl>
    <w:lvl w:ilvl="2" w:tplc="1C09001B" w:tentative="1">
      <w:start w:val="1"/>
      <w:numFmt w:val="lowerRoman"/>
      <w:lvlText w:val="%3."/>
      <w:lvlJc w:val="right"/>
      <w:pPr>
        <w:ind w:left="2662" w:hanging="180"/>
      </w:pPr>
    </w:lvl>
    <w:lvl w:ilvl="3" w:tplc="1C09000F" w:tentative="1">
      <w:start w:val="1"/>
      <w:numFmt w:val="decimal"/>
      <w:lvlText w:val="%4."/>
      <w:lvlJc w:val="left"/>
      <w:pPr>
        <w:ind w:left="3382" w:hanging="360"/>
      </w:pPr>
    </w:lvl>
    <w:lvl w:ilvl="4" w:tplc="1C090019" w:tentative="1">
      <w:start w:val="1"/>
      <w:numFmt w:val="lowerLetter"/>
      <w:lvlText w:val="%5."/>
      <w:lvlJc w:val="left"/>
      <w:pPr>
        <w:ind w:left="4102" w:hanging="360"/>
      </w:pPr>
    </w:lvl>
    <w:lvl w:ilvl="5" w:tplc="1C09001B" w:tentative="1">
      <w:start w:val="1"/>
      <w:numFmt w:val="lowerRoman"/>
      <w:lvlText w:val="%6."/>
      <w:lvlJc w:val="right"/>
      <w:pPr>
        <w:ind w:left="4822" w:hanging="180"/>
      </w:pPr>
    </w:lvl>
    <w:lvl w:ilvl="6" w:tplc="1C09000F" w:tentative="1">
      <w:start w:val="1"/>
      <w:numFmt w:val="decimal"/>
      <w:lvlText w:val="%7."/>
      <w:lvlJc w:val="left"/>
      <w:pPr>
        <w:ind w:left="5542" w:hanging="360"/>
      </w:pPr>
    </w:lvl>
    <w:lvl w:ilvl="7" w:tplc="1C090019" w:tentative="1">
      <w:start w:val="1"/>
      <w:numFmt w:val="lowerLetter"/>
      <w:lvlText w:val="%8."/>
      <w:lvlJc w:val="left"/>
      <w:pPr>
        <w:ind w:left="6262" w:hanging="360"/>
      </w:pPr>
    </w:lvl>
    <w:lvl w:ilvl="8" w:tplc="1C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7">
    <w:nsid w:val="63D361DC"/>
    <w:multiLevelType w:val="hybridMultilevel"/>
    <w:tmpl w:val="CAA0D7A2"/>
    <w:lvl w:ilvl="0" w:tplc="87EE5686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77C5598"/>
    <w:multiLevelType w:val="hybridMultilevel"/>
    <w:tmpl w:val="74C068AA"/>
    <w:lvl w:ilvl="0" w:tplc="AEA8E43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84D225E"/>
    <w:multiLevelType w:val="hybridMultilevel"/>
    <w:tmpl w:val="CDE8CC84"/>
    <w:lvl w:ilvl="0" w:tplc="1C090001">
      <w:start w:val="1"/>
      <w:numFmt w:val="bullet"/>
      <w:lvlText w:val=""/>
      <w:lvlJc w:val="left"/>
      <w:pPr>
        <w:ind w:left="936" w:hanging="576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AD0871"/>
    <w:multiLevelType w:val="hybridMultilevel"/>
    <w:tmpl w:val="FE7A1B86"/>
    <w:lvl w:ilvl="0" w:tplc="1C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2"/>
  </w:num>
  <w:num w:numId="5">
    <w:abstractNumId w:val="9"/>
  </w:num>
  <w:num w:numId="6">
    <w:abstractNumId w:val="4"/>
  </w:num>
  <w:num w:numId="7">
    <w:abstractNumId w:val="6"/>
  </w:num>
  <w:num w:numId="8">
    <w:abstractNumId w:val="10"/>
  </w:num>
  <w:num w:numId="9">
    <w:abstractNumId w:val="1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FE5"/>
    <w:rsid w:val="000154A0"/>
    <w:rsid w:val="00020C04"/>
    <w:rsid w:val="00080E04"/>
    <w:rsid w:val="000A36CB"/>
    <w:rsid w:val="000C48D8"/>
    <w:rsid w:val="000F3B14"/>
    <w:rsid w:val="001433AE"/>
    <w:rsid w:val="0015727B"/>
    <w:rsid w:val="001713D2"/>
    <w:rsid w:val="001900D8"/>
    <w:rsid w:val="001B0917"/>
    <w:rsid w:val="001E3FB5"/>
    <w:rsid w:val="001E6902"/>
    <w:rsid w:val="00236AC2"/>
    <w:rsid w:val="002F6E86"/>
    <w:rsid w:val="00321824"/>
    <w:rsid w:val="003421BD"/>
    <w:rsid w:val="003567B1"/>
    <w:rsid w:val="003A0D38"/>
    <w:rsid w:val="0042624D"/>
    <w:rsid w:val="00491B60"/>
    <w:rsid w:val="004B3F89"/>
    <w:rsid w:val="00506774"/>
    <w:rsid w:val="005141B3"/>
    <w:rsid w:val="00574E19"/>
    <w:rsid w:val="005A7E36"/>
    <w:rsid w:val="00613FC6"/>
    <w:rsid w:val="006239F1"/>
    <w:rsid w:val="00624D20"/>
    <w:rsid w:val="0062770E"/>
    <w:rsid w:val="0064275F"/>
    <w:rsid w:val="00647EF2"/>
    <w:rsid w:val="00653A85"/>
    <w:rsid w:val="006A4F5F"/>
    <w:rsid w:val="007118EA"/>
    <w:rsid w:val="00726A9C"/>
    <w:rsid w:val="007359BF"/>
    <w:rsid w:val="00735ACB"/>
    <w:rsid w:val="007914E0"/>
    <w:rsid w:val="007A32AF"/>
    <w:rsid w:val="007B1BA1"/>
    <w:rsid w:val="00891265"/>
    <w:rsid w:val="008C2559"/>
    <w:rsid w:val="008E5B69"/>
    <w:rsid w:val="00911717"/>
    <w:rsid w:val="009163A5"/>
    <w:rsid w:val="00953363"/>
    <w:rsid w:val="0096007E"/>
    <w:rsid w:val="00965DFD"/>
    <w:rsid w:val="00983B03"/>
    <w:rsid w:val="009A18A7"/>
    <w:rsid w:val="00A27751"/>
    <w:rsid w:val="00A525F0"/>
    <w:rsid w:val="00A72B9B"/>
    <w:rsid w:val="00AD00CE"/>
    <w:rsid w:val="00AD5C9B"/>
    <w:rsid w:val="00B13EA9"/>
    <w:rsid w:val="00B447E6"/>
    <w:rsid w:val="00B45F01"/>
    <w:rsid w:val="00B77F67"/>
    <w:rsid w:val="00BD31C6"/>
    <w:rsid w:val="00C25C7E"/>
    <w:rsid w:val="00C312EA"/>
    <w:rsid w:val="00C44C35"/>
    <w:rsid w:val="00C60822"/>
    <w:rsid w:val="00C652A9"/>
    <w:rsid w:val="00C91FDD"/>
    <w:rsid w:val="00CC2F3E"/>
    <w:rsid w:val="00CD4DBC"/>
    <w:rsid w:val="00D51FE5"/>
    <w:rsid w:val="00DB2463"/>
    <w:rsid w:val="00DB47A8"/>
    <w:rsid w:val="00DC41DF"/>
    <w:rsid w:val="00DD5296"/>
    <w:rsid w:val="00DD66C2"/>
    <w:rsid w:val="00DF0D26"/>
    <w:rsid w:val="00E43982"/>
    <w:rsid w:val="00E77DF6"/>
    <w:rsid w:val="00E8352B"/>
    <w:rsid w:val="00EA6A49"/>
    <w:rsid w:val="00F10A36"/>
    <w:rsid w:val="00F46AD7"/>
    <w:rsid w:val="00F51C17"/>
    <w:rsid w:val="00F5571A"/>
    <w:rsid w:val="00F87EA6"/>
    <w:rsid w:val="00FC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33A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433AE"/>
    <w:pPr>
      <w:keepNext/>
      <w:tabs>
        <w:tab w:val="left" w:pos="432"/>
        <w:tab w:val="left" w:pos="864"/>
      </w:tabs>
      <w:spacing w:before="100" w:beforeAutospacing="1"/>
      <w:ind w:left="720"/>
      <w:jc w:val="center"/>
      <w:outlineLvl w:val="0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433AE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customStyle="1" w:styleId="Char">
    <w:name w:val="Char"/>
    <w:basedOn w:val="Normal"/>
    <w:rsid w:val="001433AE"/>
    <w:rPr>
      <w:rFonts w:ascii="Arial" w:hAnsi="Arial" w:cs="Arial"/>
      <w:sz w:val="22"/>
      <w:szCs w:val="22"/>
      <w:lang w:val="en-AU"/>
    </w:rPr>
  </w:style>
  <w:style w:type="paragraph" w:styleId="BodyTextIndent2">
    <w:name w:val="Body Text Indent 2"/>
    <w:basedOn w:val="Normal"/>
    <w:rsid w:val="002F6E86"/>
    <w:pPr>
      <w:spacing w:after="120" w:line="480" w:lineRule="auto"/>
      <w:ind w:left="283"/>
    </w:pPr>
  </w:style>
  <w:style w:type="character" w:customStyle="1" w:styleId="BodyTextIndentChar">
    <w:name w:val="Body Text Indent Char"/>
    <w:link w:val="BodyTextIndent"/>
    <w:rsid w:val="00647EF2"/>
    <w:rPr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rsid w:val="000A36CB"/>
    <w:rPr>
      <w:sz w:val="16"/>
      <w:szCs w:val="16"/>
    </w:rPr>
  </w:style>
  <w:style w:type="paragraph" w:styleId="CommentText">
    <w:name w:val="annotation text"/>
    <w:basedOn w:val="Normal"/>
    <w:link w:val="CommentTextChar"/>
    <w:rsid w:val="000A36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A36C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A36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A36CB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0A36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A36CB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rsid w:val="008E5B6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735AC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A7E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33A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433AE"/>
    <w:pPr>
      <w:keepNext/>
      <w:tabs>
        <w:tab w:val="left" w:pos="432"/>
        <w:tab w:val="left" w:pos="864"/>
      </w:tabs>
      <w:spacing w:before="100" w:beforeAutospacing="1"/>
      <w:ind w:left="720"/>
      <w:jc w:val="center"/>
      <w:outlineLvl w:val="0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433AE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customStyle="1" w:styleId="Char">
    <w:name w:val="Char"/>
    <w:basedOn w:val="Normal"/>
    <w:rsid w:val="001433AE"/>
    <w:rPr>
      <w:rFonts w:ascii="Arial" w:hAnsi="Arial" w:cs="Arial"/>
      <w:sz w:val="22"/>
      <w:szCs w:val="22"/>
      <w:lang w:val="en-AU"/>
    </w:rPr>
  </w:style>
  <w:style w:type="paragraph" w:styleId="BodyTextIndent2">
    <w:name w:val="Body Text Indent 2"/>
    <w:basedOn w:val="Normal"/>
    <w:rsid w:val="002F6E86"/>
    <w:pPr>
      <w:spacing w:after="120" w:line="480" w:lineRule="auto"/>
      <w:ind w:left="283"/>
    </w:pPr>
  </w:style>
  <w:style w:type="character" w:customStyle="1" w:styleId="BodyTextIndentChar">
    <w:name w:val="Body Text Indent Char"/>
    <w:link w:val="BodyTextIndent"/>
    <w:rsid w:val="00647EF2"/>
    <w:rPr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rsid w:val="000A36CB"/>
    <w:rPr>
      <w:sz w:val="16"/>
      <w:szCs w:val="16"/>
    </w:rPr>
  </w:style>
  <w:style w:type="paragraph" w:styleId="CommentText">
    <w:name w:val="annotation text"/>
    <w:basedOn w:val="Normal"/>
    <w:link w:val="CommentTextChar"/>
    <w:rsid w:val="000A36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A36C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A36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A36CB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0A36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A36CB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rsid w:val="008E5B6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735AC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A7E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1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1.xlsx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reasury.gov.za/publications/igfr/2015/defaul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535D4-7006-4D0A-B4E9-6EA7A07D8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Lindile Batwa</dc:creator>
  <cp:lastModifiedBy>Sehlabela Chuene</cp:lastModifiedBy>
  <cp:revision>2</cp:revision>
  <cp:lastPrinted>2016-07-07T09:54:00Z</cp:lastPrinted>
  <dcterms:created xsi:type="dcterms:W3CDTF">2016-07-11T11:13:00Z</dcterms:created>
  <dcterms:modified xsi:type="dcterms:W3CDTF">2016-07-11T11:13:00Z</dcterms:modified>
</cp:coreProperties>
</file>