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4D2F24" w:rsidP="004D2F24">
      <w:pPr>
        <w:jc w:val="left"/>
        <w:rPr>
          <w:rFonts w:cs="Arial"/>
          <w:b/>
          <w:sz w:val="24"/>
          <w:szCs w:val="24"/>
          <w:lang w:val="en-US" w:eastAsia="en-US"/>
        </w:rPr>
      </w:pPr>
      <w:bookmarkStart w:id="0" w:name="_GoBack"/>
      <w:bookmarkEnd w:id="0"/>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1109D1">
        <w:rPr>
          <w:rFonts w:cs="Arial"/>
          <w:b/>
          <w:sz w:val="24"/>
          <w:szCs w:val="24"/>
          <w:lang w:val="af-ZA" w:eastAsia="en-US"/>
        </w:rPr>
        <w:t>1175</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CB37F4" w:rsidRPr="00CB37F4">
        <w:rPr>
          <w:rFonts w:eastAsia="Calibri" w:cs="Arial"/>
          <w:b/>
          <w:sz w:val="24"/>
          <w:szCs w:val="24"/>
          <w:lang w:val="af-ZA"/>
        </w:rPr>
        <w:t>NW1315E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1109D1">
        <w:rPr>
          <w:rFonts w:cs="Arial"/>
          <w:b/>
          <w:sz w:val="24"/>
          <w:szCs w:val="24"/>
          <w:lang w:val="en-US" w:eastAsia="en-US"/>
        </w:rPr>
        <w:t>No. 16</w:t>
      </w:r>
      <w:r w:rsidR="00DA2189">
        <w:rPr>
          <w:rFonts w:cs="Arial"/>
          <w:b/>
          <w:sz w:val="24"/>
          <w:szCs w:val="24"/>
          <w:lang w:val="en-US" w:eastAsia="en-US"/>
        </w:rPr>
        <w:t xml:space="preserve">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1109D1">
        <w:rPr>
          <w:rFonts w:cs="Arial"/>
          <w:b/>
          <w:sz w:val="24"/>
          <w:szCs w:val="24"/>
        </w:rPr>
        <w:t>16 MAY</w:t>
      </w:r>
      <w:r w:rsidR="00DA2189">
        <w:rPr>
          <w:rFonts w:cs="Arial"/>
          <w:b/>
          <w:sz w:val="24"/>
          <w:szCs w:val="24"/>
        </w:rPr>
        <w:t xml:space="preserve"> 2017</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6F490A">
        <w:rPr>
          <w:rFonts w:cs="Arial"/>
          <w:b/>
          <w:sz w:val="24"/>
          <w:szCs w:val="24"/>
          <w:lang w:val="en-US" w:eastAsia="en-US"/>
        </w:rPr>
        <w:t xml:space="preserve">     </w:t>
      </w:r>
      <w:r w:rsidR="001109D1">
        <w:rPr>
          <w:rFonts w:cs="Arial"/>
          <w:b/>
          <w:sz w:val="24"/>
          <w:szCs w:val="24"/>
          <w:lang w:val="en-US" w:eastAsia="en-US"/>
        </w:rPr>
        <w:t>MAY</w:t>
      </w:r>
      <w:r w:rsidR="00DA2189">
        <w:rPr>
          <w:rFonts w:cs="Arial"/>
          <w:b/>
          <w:sz w:val="24"/>
          <w:szCs w:val="24"/>
          <w:lang w:val="en-US" w:eastAsia="en-US"/>
        </w:rPr>
        <w:t xml:space="preserve"> 2017</w:t>
      </w:r>
      <w:r w:rsidR="00E66692">
        <w:rPr>
          <w:rFonts w:cs="Arial"/>
          <w:b/>
          <w:sz w:val="24"/>
          <w:szCs w:val="24"/>
          <w:lang w:val="en-US" w:eastAsia="en-US"/>
        </w:rPr>
        <w:t xml:space="preserve"> </w:t>
      </w:r>
    </w:p>
    <w:p w:rsidR="00EE2AEC" w:rsidRPr="000B4F40" w:rsidRDefault="00EE2AEC" w:rsidP="00B44E3D">
      <w:pPr>
        <w:jc w:val="left"/>
        <w:rPr>
          <w:rFonts w:cs="Arial"/>
          <w:b/>
          <w:sz w:val="24"/>
          <w:szCs w:val="24"/>
        </w:rPr>
      </w:pPr>
    </w:p>
    <w:p w:rsidR="00F007A3" w:rsidRPr="00CF4E57" w:rsidRDefault="001109D1" w:rsidP="00F007A3">
      <w:pPr>
        <w:spacing w:before="100" w:beforeAutospacing="1" w:after="100" w:afterAutospacing="1"/>
        <w:outlineLvl w:val="0"/>
        <w:rPr>
          <w:rFonts w:eastAsia="Calibri" w:cs="Arial"/>
          <w:b/>
          <w:sz w:val="24"/>
          <w:szCs w:val="24"/>
          <w:lang w:eastAsia="en-US"/>
        </w:rPr>
      </w:pPr>
      <w:r>
        <w:rPr>
          <w:rFonts w:cs="Arial"/>
          <w:b/>
          <w:sz w:val="24"/>
          <w:szCs w:val="24"/>
          <w:lang w:val="af-ZA" w:eastAsia="en-US"/>
        </w:rPr>
        <w:t>1175</w:t>
      </w:r>
      <w:r w:rsidR="009776AC" w:rsidRPr="009776AC">
        <w:rPr>
          <w:rFonts w:cs="Arial"/>
          <w:b/>
          <w:sz w:val="24"/>
          <w:szCs w:val="24"/>
          <w:lang w:val="af-ZA" w:eastAsia="en-US"/>
        </w:rPr>
        <w:t>.</w:t>
      </w:r>
      <w:r w:rsidR="009776AC" w:rsidRPr="003D7908">
        <w:rPr>
          <w:rFonts w:cs="Arial"/>
          <w:b/>
          <w:sz w:val="24"/>
          <w:szCs w:val="24"/>
          <w:lang w:val="af-ZA" w:eastAsia="en-US"/>
        </w:rPr>
        <w:tab/>
      </w:r>
      <w:r w:rsidRPr="001109D1">
        <w:rPr>
          <w:rFonts w:eastAsia="Calibri" w:cs="Arial"/>
          <w:b/>
          <w:bCs/>
          <w:color w:val="000000" w:themeColor="text1"/>
          <w:sz w:val="24"/>
          <w:szCs w:val="24"/>
          <w:lang w:eastAsia="en-US"/>
        </w:rPr>
        <w:t xml:space="preserve">Ms S P </w:t>
      </w:r>
      <w:r w:rsidRPr="001109D1">
        <w:rPr>
          <w:rFonts w:eastAsia="Calibri" w:cs="Arial"/>
          <w:b/>
          <w:color w:val="000000" w:themeColor="text1"/>
          <w:sz w:val="24"/>
          <w:szCs w:val="24"/>
          <w:lang w:eastAsia="en-US"/>
        </w:rPr>
        <w:t>Kopane</w:t>
      </w:r>
      <w:r w:rsidRPr="001109D1">
        <w:rPr>
          <w:rFonts w:eastAsia="Calibri" w:cs="Arial"/>
          <w:b/>
          <w:bCs/>
          <w:color w:val="000000" w:themeColor="text1"/>
          <w:sz w:val="24"/>
          <w:szCs w:val="24"/>
          <w:lang w:eastAsia="en-US"/>
        </w:rPr>
        <w:t xml:space="preserve"> </w:t>
      </w:r>
      <w:r w:rsidRPr="001109D1">
        <w:rPr>
          <w:rFonts w:eastAsia="Calibri" w:cs="Arial"/>
          <w:b/>
          <w:color w:val="000000" w:themeColor="text1"/>
          <w:sz w:val="24"/>
          <w:szCs w:val="24"/>
          <w:lang w:eastAsia="en-US"/>
        </w:rPr>
        <w:t>(DA)</w:t>
      </w:r>
      <w:r w:rsidR="000B0D3E" w:rsidRPr="000B0D3E">
        <w:rPr>
          <w:rFonts w:eastAsia="Calibri" w:cs="Arial"/>
          <w:b/>
          <w:sz w:val="24"/>
          <w:szCs w:val="24"/>
          <w:lang w:eastAsia="en-US"/>
        </w:rPr>
        <w:t xml:space="preserve"> </w:t>
      </w:r>
      <w:r w:rsidR="00F007A3" w:rsidRPr="00CF4E57">
        <w:rPr>
          <w:rFonts w:eastAsia="Calibri" w:cs="Arial"/>
          <w:b/>
          <w:sz w:val="24"/>
          <w:szCs w:val="24"/>
          <w:lang w:eastAsia="en-US"/>
        </w:rPr>
        <w:t>ask</w:t>
      </w:r>
      <w:r w:rsidR="00F007A3" w:rsidRPr="00F007A3">
        <w:rPr>
          <w:rFonts w:eastAsia="Calibri" w:cs="Arial"/>
          <w:b/>
          <w:sz w:val="24"/>
          <w:szCs w:val="24"/>
          <w:lang w:eastAsia="en-US"/>
        </w:rPr>
        <w:t>ed</w:t>
      </w:r>
      <w:r w:rsidR="00F007A3" w:rsidRPr="00CF4E57">
        <w:rPr>
          <w:rFonts w:eastAsia="Calibri" w:cs="Arial"/>
          <w:b/>
          <w:sz w:val="24"/>
          <w:szCs w:val="24"/>
          <w:lang w:eastAsia="en-US"/>
        </w:rPr>
        <w:t xml:space="preserve"> the Minister of Public Works:</w:t>
      </w:r>
    </w:p>
    <w:p w:rsidR="001109D1" w:rsidRPr="001109D1" w:rsidRDefault="001109D1" w:rsidP="001109D1">
      <w:pPr>
        <w:spacing w:before="100" w:beforeAutospacing="1" w:after="100" w:afterAutospacing="1" w:line="259" w:lineRule="auto"/>
        <w:ind w:left="1440" w:hanging="720"/>
        <w:rPr>
          <w:rFonts w:eastAsia="Calibri" w:cs="Arial"/>
          <w:color w:val="000000" w:themeColor="text1"/>
          <w:sz w:val="24"/>
          <w:szCs w:val="24"/>
          <w:lang w:eastAsia="en-US"/>
        </w:rPr>
      </w:pPr>
      <w:r>
        <w:rPr>
          <w:rFonts w:eastAsia="Calibri" w:cs="Arial"/>
          <w:color w:val="000000" w:themeColor="text1"/>
          <w:sz w:val="24"/>
          <w:szCs w:val="24"/>
          <w:lang w:eastAsia="en-US"/>
        </w:rPr>
        <w:t>(1)</w:t>
      </w:r>
      <w:r>
        <w:rPr>
          <w:rFonts w:eastAsia="Calibri" w:cs="Arial"/>
          <w:color w:val="000000" w:themeColor="text1"/>
          <w:sz w:val="24"/>
          <w:szCs w:val="24"/>
          <w:lang w:eastAsia="en-US"/>
        </w:rPr>
        <w:tab/>
      </w:r>
      <w:r w:rsidRPr="001109D1">
        <w:rPr>
          <w:rFonts w:eastAsia="Calibri" w:cs="Arial"/>
          <w:color w:val="000000" w:themeColor="text1"/>
          <w:sz w:val="24"/>
          <w:szCs w:val="24"/>
          <w:lang w:eastAsia="en-US"/>
        </w:rPr>
        <w:t>Whether any money is owed to his department by other government (a) departments and (b) entities; if so, (i) what amount is owed to his department by other national departments and public entities, (ii) what amount is still outstanding and (iii) what are the reasons for not paying as required;</w:t>
      </w:r>
    </w:p>
    <w:p w:rsidR="001109D1" w:rsidRPr="001109D1" w:rsidRDefault="001109D1" w:rsidP="001109D1">
      <w:pPr>
        <w:ind w:left="1440" w:hanging="720"/>
        <w:outlineLvl w:val="0"/>
        <w:rPr>
          <w:rFonts w:eastAsia="Calibri" w:cs="Arial"/>
          <w:b/>
          <w:color w:val="000000" w:themeColor="text1"/>
          <w:sz w:val="24"/>
          <w:szCs w:val="24"/>
          <w:lang w:eastAsia="en-US"/>
        </w:rPr>
      </w:pPr>
      <w:r w:rsidRPr="001109D1">
        <w:rPr>
          <w:rFonts w:eastAsia="Calibri" w:cs="Arial"/>
          <w:color w:val="000000" w:themeColor="text1"/>
          <w:sz w:val="24"/>
          <w:szCs w:val="24"/>
          <w:lang w:eastAsia="en-US"/>
        </w:rPr>
        <w:t>(</w:t>
      </w:r>
      <w:r>
        <w:rPr>
          <w:rFonts w:eastAsia="Calibri" w:cs="Arial"/>
          <w:color w:val="000000" w:themeColor="text1"/>
          <w:sz w:val="24"/>
          <w:szCs w:val="24"/>
          <w:lang w:eastAsia="en-US"/>
        </w:rPr>
        <w:t>2)</w:t>
      </w:r>
      <w:r>
        <w:rPr>
          <w:rFonts w:eastAsia="Calibri" w:cs="Arial"/>
          <w:color w:val="000000" w:themeColor="text1"/>
          <w:sz w:val="24"/>
          <w:szCs w:val="24"/>
          <w:lang w:eastAsia="en-US"/>
        </w:rPr>
        <w:tab/>
      </w:r>
      <w:r w:rsidRPr="001109D1">
        <w:rPr>
          <w:rFonts w:eastAsia="Calibri" w:cs="Arial"/>
          <w:color w:val="000000" w:themeColor="text1"/>
          <w:sz w:val="24"/>
          <w:szCs w:val="24"/>
          <w:lang w:eastAsia="en-US"/>
        </w:rPr>
        <w:t>what appropriate action was taken by his department to recoup the monies owed to it?</w:t>
      </w:r>
      <w:r w:rsidRPr="001109D1">
        <w:rPr>
          <w:rFonts w:eastAsia="Calibri" w:cs="Arial"/>
          <w:color w:val="000000" w:themeColor="text1"/>
          <w:sz w:val="24"/>
          <w:szCs w:val="24"/>
          <w:lang w:eastAsia="en-US"/>
        </w:rPr>
        <w:tab/>
      </w:r>
      <w:r w:rsidRPr="001109D1">
        <w:rPr>
          <w:rFonts w:eastAsia="Calibri" w:cs="Arial"/>
          <w:color w:val="000000" w:themeColor="text1"/>
          <w:sz w:val="24"/>
          <w:szCs w:val="24"/>
          <w:lang w:eastAsia="en-US"/>
        </w:rPr>
        <w:tab/>
        <w:t xml:space="preserve">       </w:t>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t xml:space="preserve">    </w:t>
      </w:r>
      <w:r w:rsidRPr="001109D1">
        <w:rPr>
          <w:rFonts w:eastAsia="Calibri" w:cs="Arial"/>
          <w:b/>
          <w:color w:val="000000" w:themeColor="text1"/>
          <w:sz w:val="24"/>
          <w:szCs w:val="24"/>
          <w:lang w:eastAsia="en-US"/>
        </w:rPr>
        <w:t>NW1315E</w:t>
      </w:r>
    </w:p>
    <w:p w:rsidR="004D2F24" w:rsidRPr="001C6CA1" w:rsidRDefault="004D2F24" w:rsidP="001109D1">
      <w:pPr>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1109D1">
        <w:rPr>
          <w:rFonts w:cs="Arial"/>
          <w:b/>
          <w:szCs w:val="22"/>
          <w:lang w:eastAsia="en-US"/>
        </w:rPr>
        <w:t>_</w:t>
      </w:r>
    </w:p>
    <w:p w:rsidR="001109D1" w:rsidRDefault="001109D1" w:rsidP="006049D3">
      <w:pPr>
        <w:rPr>
          <w:rFonts w:cs="Arial"/>
          <w:b/>
          <w:sz w:val="24"/>
          <w:szCs w:val="24"/>
          <w:lang w:eastAsia="en-US"/>
        </w:rPr>
      </w:pPr>
    </w:p>
    <w:p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r w:rsidR="00E808B7" w:rsidRPr="00EF25FA">
        <w:rPr>
          <w:rFonts w:cs="Arial"/>
          <w:b/>
          <w:sz w:val="24"/>
          <w:szCs w:val="24"/>
          <w:lang w:eastAsia="en-US"/>
        </w:rPr>
        <w:t>:</w:t>
      </w:r>
    </w:p>
    <w:p w:rsidR="00FA5EB0" w:rsidRDefault="00FA5EB0" w:rsidP="00591850">
      <w:pPr>
        <w:rPr>
          <w:rFonts w:cs="Arial"/>
          <w:b/>
          <w:sz w:val="24"/>
          <w:szCs w:val="24"/>
          <w:lang w:eastAsia="en-US"/>
        </w:rPr>
      </w:pPr>
    </w:p>
    <w:p w:rsidR="00021F27" w:rsidRDefault="00610BA6" w:rsidP="00CB37F4">
      <w:pPr>
        <w:rPr>
          <w:rFonts w:cs="Arial"/>
          <w:b/>
          <w:sz w:val="24"/>
          <w:szCs w:val="24"/>
          <w:lang w:eastAsia="en-US"/>
        </w:rPr>
      </w:pPr>
      <w:r>
        <w:rPr>
          <w:rFonts w:cs="Arial"/>
          <w:b/>
          <w:sz w:val="24"/>
          <w:szCs w:val="24"/>
          <w:lang w:eastAsia="en-US"/>
        </w:rPr>
        <w:t>REPLY:</w:t>
      </w:r>
      <w:r w:rsidR="00021F27">
        <w:rPr>
          <w:rFonts w:cs="Arial"/>
          <w:b/>
          <w:sz w:val="24"/>
          <w:szCs w:val="24"/>
          <w:lang w:eastAsia="en-US"/>
        </w:rPr>
        <w:t xml:space="preserve"> </w:t>
      </w:r>
    </w:p>
    <w:p w:rsidR="00C248F1" w:rsidRDefault="00C248F1" w:rsidP="0034633E">
      <w:pPr>
        <w:ind w:firstLine="360"/>
        <w:rPr>
          <w:rFonts w:cs="Arial"/>
          <w:b/>
          <w:sz w:val="24"/>
          <w:szCs w:val="24"/>
          <w:lang w:eastAsia="en-US"/>
        </w:rPr>
      </w:pPr>
    </w:p>
    <w:p w:rsidR="008259E9" w:rsidRPr="00CB37F4" w:rsidRDefault="00C248F1" w:rsidP="00CB37F4">
      <w:pPr>
        <w:spacing w:line="276" w:lineRule="auto"/>
        <w:rPr>
          <w:rFonts w:cs="Arial"/>
          <w:sz w:val="24"/>
          <w:szCs w:val="24"/>
          <w:lang w:eastAsia="en-US"/>
        </w:rPr>
      </w:pPr>
      <w:r w:rsidRPr="00CB37F4">
        <w:rPr>
          <w:rFonts w:cs="Arial"/>
          <w:sz w:val="24"/>
          <w:szCs w:val="24"/>
          <w:lang w:eastAsia="en-US"/>
        </w:rPr>
        <w:t xml:space="preserve">The Department of Public works manages accommodation requirements of </w:t>
      </w:r>
      <w:r w:rsidR="008259E9" w:rsidRPr="00CB37F4">
        <w:rPr>
          <w:rFonts w:cs="Arial"/>
          <w:sz w:val="24"/>
          <w:szCs w:val="24"/>
          <w:lang w:eastAsia="en-US"/>
        </w:rPr>
        <w:t>n</w:t>
      </w:r>
      <w:r w:rsidRPr="00CB37F4">
        <w:rPr>
          <w:rFonts w:cs="Arial"/>
          <w:sz w:val="24"/>
          <w:szCs w:val="24"/>
          <w:lang w:eastAsia="en-US"/>
        </w:rPr>
        <w:t xml:space="preserve">ational </w:t>
      </w:r>
      <w:r w:rsidR="008259E9" w:rsidRPr="00CB37F4">
        <w:rPr>
          <w:rFonts w:cs="Arial"/>
          <w:sz w:val="24"/>
          <w:szCs w:val="24"/>
          <w:lang w:eastAsia="en-US"/>
        </w:rPr>
        <w:t>d</w:t>
      </w:r>
      <w:r w:rsidRPr="00CB37F4">
        <w:rPr>
          <w:rFonts w:cs="Arial"/>
          <w:sz w:val="24"/>
          <w:szCs w:val="24"/>
          <w:lang w:eastAsia="en-US"/>
        </w:rPr>
        <w:t xml:space="preserve">epartments </w:t>
      </w:r>
      <w:r w:rsidR="008259E9" w:rsidRPr="00CB37F4">
        <w:rPr>
          <w:rFonts w:cs="Arial"/>
          <w:sz w:val="24"/>
          <w:szCs w:val="24"/>
          <w:lang w:eastAsia="en-US"/>
        </w:rPr>
        <w:t xml:space="preserve">through the Property Management Trading Entity (PMTE). </w:t>
      </w:r>
      <w:r w:rsidRPr="00CB37F4">
        <w:rPr>
          <w:rFonts w:cs="Arial"/>
          <w:sz w:val="24"/>
          <w:szCs w:val="24"/>
          <w:lang w:eastAsia="en-US"/>
        </w:rPr>
        <w:t>Included in this mandate is the provision of accommodatio</w:t>
      </w:r>
      <w:r w:rsidR="00EB08B4" w:rsidRPr="00CB37F4">
        <w:rPr>
          <w:rFonts w:cs="Arial"/>
          <w:sz w:val="24"/>
          <w:szCs w:val="24"/>
          <w:lang w:eastAsia="en-US"/>
        </w:rPr>
        <w:t>n through state owned and leased</w:t>
      </w:r>
      <w:r w:rsidRPr="00CB37F4">
        <w:rPr>
          <w:rFonts w:cs="Arial"/>
          <w:sz w:val="24"/>
          <w:szCs w:val="24"/>
          <w:lang w:eastAsia="en-US"/>
        </w:rPr>
        <w:t xml:space="preserve"> properties, construction of new accommodation, major refurbishment of existing properties and management of municipal services</w:t>
      </w:r>
      <w:r w:rsidR="008259E9" w:rsidRPr="00CB37F4">
        <w:rPr>
          <w:rFonts w:cs="Arial"/>
          <w:sz w:val="24"/>
          <w:szCs w:val="24"/>
          <w:lang w:eastAsia="en-US"/>
        </w:rPr>
        <w:t>.</w:t>
      </w:r>
    </w:p>
    <w:p w:rsidR="00C248F1" w:rsidRPr="00CB37F4" w:rsidRDefault="00C248F1" w:rsidP="00CB37F4">
      <w:pPr>
        <w:spacing w:line="276" w:lineRule="auto"/>
        <w:rPr>
          <w:rFonts w:cs="Arial"/>
          <w:sz w:val="24"/>
          <w:szCs w:val="24"/>
          <w:lang w:eastAsia="en-US"/>
        </w:rPr>
      </w:pPr>
      <w:r w:rsidRPr="00CB37F4">
        <w:rPr>
          <w:rFonts w:cs="Arial"/>
          <w:sz w:val="24"/>
          <w:szCs w:val="24"/>
          <w:lang w:eastAsia="en-US"/>
        </w:rPr>
        <w:t xml:space="preserve"> </w:t>
      </w:r>
    </w:p>
    <w:p w:rsidR="000A16F4" w:rsidRPr="00CB37F4" w:rsidRDefault="000A16F4" w:rsidP="00CB37F4">
      <w:pPr>
        <w:spacing w:line="276" w:lineRule="auto"/>
        <w:rPr>
          <w:rFonts w:cs="Arial"/>
          <w:sz w:val="24"/>
          <w:szCs w:val="24"/>
          <w:lang w:val="en-US" w:eastAsia="en-US"/>
        </w:rPr>
      </w:pPr>
      <w:r w:rsidRPr="00CB37F4">
        <w:rPr>
          <w:rFonts w:cs="Arial"/>
          <w:sz w:val="24"/>
          <w:szCs w:val="24"/>
          <w:lang w:eastAsia="en-US"/>
        </w:rPr>
        <w:t xml:space="preserve">State-owned accommodation charges are billed quarterly in advance in line with the devolution framework principles developed </w:t>
      </w:r>
      <w:r w:rsidR="008259E9" w:rsidRPr="00CB37F4">
        <w:rPr>
          <w:rFonts w:cs="Arial"/>
          <w:sz w:val="24"/>
          <w:szCs w:val="24"/>
          <w:lang w:eastAsia="en-US"/>
        </w:rPr>
        <w:t xml:space="preserve">at the time of </w:t>
      </w:r>
      <w:r w:rsidRPr="00CB37F4">
        <w:rPr>
          <w:rFonts w:cs="Arial"/>
          <w:sz w:val="24"/>
          <w:szCs w:val="24"/>
          <w:lang w:eastAsia="en-US"/>
        </w:rPr>
        <w:t xml:space="preserve">establishment of the PMTE. </w:t>
      </w:r>
      <w:r w:rsidRPr="00CB37F4">
        <w:rPr>
          <w:rFonts w:cs="Arial"/>
          <w:sz w:val="24"/>
          <w:szCs w:val="24"/>
          <w:lang w:val="en-US" w:eastAsia="en-US"/>
        </w:rPr>
        <w:t>The process that is followed</w:t>
      </w:r>
      <w:r w:rsidR="00162E7F" w:rsidRPr="00CB37F4">
        <w:rPr>
          <w:rFonts w:cs="Arial"/>
          <w:sz w:val="24"/>
          <w:szCs w:val="24"/>
          <w:lang w:val="en-US" w:eastAsia="en-US"/>
        </w:rPr>
        <w:t xml:space="preserve"> to recover monies relating to p</w:t>
      </w:r>
      <w:r w:rsidRPr="00CB37F4">
        <w:rPr>
          <w:rFonts w:cs="Arial"/>
          <w:sz w:val="24"/>
          <w:szCs w:val="24"/>
          <w:lang w:val="en-US" w:eastAsia="en-US"/>
        </w:rPr>
        <w:t>riv</w:t>
      </w:r>
      <w:r w:rsidR="00162E7F" w:rsidRPr="00CB37F4">
        <w:rPr>
          <w:rFonts w:cs="Arial"/>
          <w:sz w:val="24"/>
          <w:szCs w:val="24"/>
          <w:lang w:val="en-US" w:eastAsia="en-US"/>
        </w:rPr>
        <w:t>ate leases, m</w:t>
      </w:r>
      <w:r w:rsidRPr="00CB37F4">
        <w:rPr>
          <w:rFonts w:cs="Arial"/>
          <w:sz w:val="24"/>
          <w:szCs w:val="24"/>
          <w:lang w:val="en-US" w:eastAsia="en-US"/>
        </w:rPr>
        <w:t>unicipal services, Client Infrastructure spending (Capital allocation) and other recoverable infrastructure projects (</w:t>
      </w:r>
      <w:r w:rsidR="008259E9" w:rsidRPr="00CB37F4">
        <w:rPr>
          <w:rFonts w:cs="Arial"/>
          <w:sz w:val="24"/>
          <w:szCs w:val="24"/>
          <w:lang w:val="en-US" w:eastAsia="en-US"/>
        </w:rPr>
        <w:t>referred</w:t>
      </w:r>
      <w:r w:rsidRPr="00CB37F4">
        <w:rPr>
          <w:rFonts w:cs="Arial"/>
          <w:sz w:val="24"/>
          <w:szCs w:val="24"/>
          <w:lang w:val="en-US" w:eastAsia="en-US"/>
        </w:rPr>
        <w:t xml:space="preserve"> to as PACE and CA) is as follows:</w:t>
      </w:r>
    </w:p>
    <w:p w:rsidR="00EB08B4" w:rsidRPr="00CB37F4" w:rsidRDefault="00612E99" w:rsidP="00CB37F4">
      <w:pPr>
        <w:rPr>
          <w:rFonts w:cs="Arial"/>
          <w:sz w:val="24"/>
          <w:szCs w:val="24"/>
          <w:lang w:val="en-US" w:eastAsia="en-US"/>
        </w:rPr>
      </w:pPr>
      <w:r>
        <w:rPr>
          <w:rFonts w:cs="Arial"/>
          <w:sz w:val="24"/>
          <w:szCs w:val="24"/>
          <w:lang w:val="en-US" w:eastAsia="en-US"/>
        </w:rPr>
        <w:t xml:space="preserve"> </w:t>
      </w:r>
    </w:p>
    <w:p w:rsidR="000A16F4" w:rsidRPr="000A16F4" w:rsidRDefault="000A16F4" w:rsidP="000A16F4">
      <w:pPr>
        <w:rPr>
          <w:rFonts w:cs="Arial"/>
          <w:b/>
          <w:sz w:val="24"/>
          <w:szCs w:val="24"/>
          <w:lang w:val="en-US" w:eastAsia="en-US"/>
        </w:rPr>
      </w:pPr>
    </w:p>
    <w:p w:rsidR="000A16F4" w:rsidRPr="00CB37F4" w:rsidRDefault="000A16F4" w:rsidP="000A16F4">
      <w:pPr>
        <w:numPr>
          <w:ilvl w:val="0"/>
          <w:numId w:val="47"/>
        </w:numPr>
        <w:rPr>
          <w:rFonts w:cs="Arial"/>
          <w:sz w:val="24"/>
          <w:szCs w:val="24"/>
          <w:lang w:val="en-US" w:eastAsia="en-US"/>
        </w:rPr>
      </w:pPr>
      <w:r w:rsidRPr="00CB37F4">
        <w:rPr>
          <w:rFonts w:cs="Arial"/>
          <w:sz w:val="24"/>
          <w:szCs w:val="24"/>
          <w:lang w:val="en-US" w:eastAsia="en-US"/>
        </w:rPr>
        <w:t>PMTE pays lessors, contractors and municipalities on behalf of user departments;</w:t>
      </w:r>
    </w:p>
    <w:p w:rsidR="000A16F4" w:rsidRPr="00CB37F4" w:rsidRDefault="000A16F4" w:rsidP="000A16F4">
      <w:pPr>
        <w:numPr>
          <w:ilvl w:val="0"/>
          <w:numId w:val="47"/>
        </w:numPr>
        <w:rPr>
          <w:rFonts w:cs="Arial"/>
          <w:sz w:val="24"/>
          <w:szCs w:val="24"/>
          <w:lang w:val="en-US" w:eastAsia="en-US"/>
        </w:rPr>
      </w:pPr>
      <w:r w:rsidRPr="00CB37F4">
        <w:rPr>
          <w:rFonts w:cs="Arial"/>
          <w:sz w:val="24"/>
          <w:szCs w:val="24"/>
          <w:lang w:val="en-US" w:eastAsia="en-US"/>
        </w:rPr>
        <w:lastRenderedPageBreak/>
        <w:t>At the end of the month, the recoverable costs are consolidated per client;</w:t>
      </w:r>
    </w:p>
    <w:p w:rsidR="000A16F4" w:rsidRPr="00CB37F4" w:rsidRDefault="000A16F4" w:rsidP="000A16F4">
      <w:pPr>
        <w:numPr>
          <w:ilvl w:val="0"/>
          <w:numId w:val="47"/>
        </w:numPr>
        <w:rPr>
          <w:rFonts w:cs="Arial"/>
          <w:sz w:val="24"/>
          <w:szCs w:val="24"/>
          <w:lang w:val="en-US" w:eastAsia="en-US"/>
        </w:rPr>
      </w:pPr>
      <w:r w:rsidRPr="00CB37F4">
        <w:rPr>
          <w:rFonts w:cs="Arial"/>
          <w:sz w:val="24"/>
          <w:szCs w:val="24"/>
          <w:lang w:val="en-US" w:eastAsia="en-US"/>
        </w:rPr>
        <w:t>Invoices are then issued to clients in arrears;</w:t>
      </w:r>
    </w:p>
    <w:p w:rsidR="000A16F4" w:rsidRPr="00CB37F4" w:rsidRDefault="000A16F4" w:rsidP="000A16F4">
      <w:pPr>
        <w:numPr>
          <w:ilvl w:val="0"/>
          <w:numId w:val="47"/>
        </w:numPr>
        <w:rPr>
          <w:rFonts w:cs="Arial"/>
          <w:sz w:val="24"/>
          <w:szCs w:val="24"/>
          <w:lang w:val="en-US" w:eastAsia="en-US"/>
        </w:rPr>
      </w:pPr>
      <w:r w:rsidRPr="00CB37F4">
        <w:rPr>
          <w:rFonts w:cs="Arial"/>
          <w:sz w:val="24"/>
          <w:szCs w:val="24"/>
          <w:lang w:val="en-US" w:eastAsia="en-US"/>
        </w:rPr>
        <w:t xml:space="preserve">User departments have 30 days to settle debts in terms of the PFMA; </w:t>
      </w:r>
    </w:p>
    <w:p w:rsidR="000A16F4" w:rsidRPr="00CB37F4" w:rsidRDefault="000A16F4" w:rsidP="000A16F4">
      <w:pPr>
        <w:numPr>
          <w:ilvl w:val="0"/>
          <w:numId w:val="47"/>
        </w:numPr>
        <w:rPr>
          <w:rFonts w:cs="Arial"/>
          <w:sz w:val="24"/>
          <w:szCs w:val="24"/>
          <w:lang w:val="en-US" w:eastAsia="en-US"/>
        </w:rPr>
      </w:pPr>
      <w:r w:rsidRPr="00CB37F4">
        <w:rPr>
          <w:rFonts w:cs="Arial"/>
          <w:sz w:val="24"/>
          <w:szCs w:val="24"/>
          <w:lang w:val="en-US" w:eastAsia="en-US"/>
        </w:rPr>
        <w:t>However, in practice this gives rise to 60 days delay in matching the expense with the revenue.</w:t>
      </w:r>
    </w:p>
    <w:p w:rsidR="000A16F4" w:rsidRPr="00CB37F4" w:rsidRDefault="000A16F4" w:rsidP="000A16F4">
      <w:pPr>
        <w:rPr>
          <w:rFonts w:cs="Arial"/>
          <w:sz w:val="24"/>
          <w:szCs w:val="24"/>
          <w:lang w:val="en-US" w:eastAsia="en-US"/>
        </w:rPr>
      </w:pPr>
    </w:p>
    <w:p w:rsidR="00C248F1" w:rsidRPr="00CB37F4" w:rsidRDefault="000A16F4" w:rsidP="00C248F1">
      <w:pPr>
        <w:rPr>
          <w:rFonts w:cs="Arial"/>
          <w:sz w:val="24"/>
          <w:szCs w:val="24"/>
          <w:lang w:eastAsia="en-US"/>
        </w:rPr>
      </w:pPr>
      <w:r w:rsidRPr="00CB37F4">
        <w:rPr>
          <w:rFonts w:cs="Arial"/>
          <w:sz w:val="24"/>
          <w:szCs w:val="24"/>
          <w:lang w:eastAsia="en-US"/>
        </w:rPr>
        <w:t>A</w:t>
      </w:r>
      <w:r w:rsidR="00C204F9">
        <w:rPr>
          <w:rFonts w:cs="Arial"/>
          <w:sz w:val="24"/>
          <w:szCs w:val="24"/>
          <w:lang w:eastAsia="en-US"/>
        </w:rPr>
        <w:t>s at the end of March 2017, R2</w:t>
      </w:r>
      <w:r w:rsidR="000E621E">
        <w:rPr>
          <w:rFonts w:cs="Arial"/>
          <w:sz w:val="24"/>
          <w:szCs w:val="24"/>
          <w:lang w:eastAsia="en-US"/>
        </w:rPr>
        <w:t>, 854 billion</w:t>
      </w:r>
      <w:r w:rsidRPr="00CB37F4">
        <w:rPr>
          <w:rFonts w:cs="Arial"/>
          <w:sz w:val="24"/>
          <w:szCs w:val="24"/>
          <w:lang w:eastAsia="en-US"/>
        </w:rPr>
        <w:t xml:space="preserve"> was outstanding from </w:t>
      </w:r>
      <w:r w:rsidR="008259E9" w:rsidRPr="00CB37F4">
        <w:rPr>
          <w:rFonts w:cs="Arial"/>
          <w:sz w:val="24"/>
          <w:szCs w:val="24"/>
          <w:lang w:eastAsia="en-US"/>
        </w:rPr>
        <w:t>n</w:t>
      </w:r>
      <w:r w:rsidRPr="00CB37F4">
        <w:rPr>
          <w:rFonts w:cs="Arial"/>
          <w:sz w:val="24"/>
          <w:szCs w:val="24"/>
          <w:lang w:eastAsia="en-US"/>
        </w:rPr>
        <w:t xml:space="preserve">ational </w:t>
      </w:r>
      <w:r w:rsidR="008259E9" w:rsidRPr="00CB37F4">
        <w:rPr>
          <w:rFonts w:cs="Arial"/>
          <w:sz w:val="24"/>
          <w:szCs w:val="24"/>
          <w:lang w:eastAsia="en-US"/>
        </w:rPr>
        <w:t>d</w:t>
      </w:r>
      <w:r w:rsidRPr="00CB37F4">
        <w:rPr>
          <w:rFonts w:cs="Arial"/>
          <w:sz w:val="24"/>
          <w:szCs w:val="24"/>
          <w:lang w:eastAsia="en-US"/>
        </w:rPr>
        <w:t>epartments</w:t>
      </w:r>
      <w:r w:rsidR="00EE5BBA" w:rsidRPr="00CB37F4">
        <w:rPr>
          <w:rFonts w:cs="Arial"/>
          <w:sz w:val="24"/>
          <w:szCs w:val="24"/>
          <w:lang w:eastAsia="en-US"/>
        </w:rPr>
        <w:t xml:space="preserve"> (Annexure: A) and </w:t>
      </w:r>
      <w:r w:rsidR="000E621E">
        <w:rPr>
          <w:rFonts w:cs="Arial"/>
          <w:sz w:val="24"/>
          <w:szCs w:val="24"/>
          <w:lang w:eastAsia="en-US"/>
        </w:rPr>
        <w:t>R195 billion</w:t>
      </w:r>
      <w:r w:rsidR="008864DB" w:rsidRPr="00CB37F4">
        <w:rPr>
          <w:rFonts w:cs="Arial"/>
          <w:sz w:val="24"/>
          <w:szCs w:val="24"/>
          <w:lang w:eastAsia="en-US"/>
        </w:rPr>
        <w:t xml:space="preserve"> from </w:t>
      </w:r>
      <w:r w:rsidR="00EE5BBA" w:rsidRPr="00CB37F4">
        <w:rPr>
          <w:rFonts w:cs="Arial"/>
          <w:sz w:val="24"/>
          <w:szCs w:val="24"/>
          <w:lang w:eastAsia="en-US"/>
        </w:rPr>
        <w:t>other organs of state</w:t>
      </w:r>
      <w:r w:rsidRPr="00CB37F4">
        <w:rPr>
          <w:rFonts w:cs="Arial"/>
          <w:sz w:val="24"/>
          <w:szCs w:val="24"/>
          <w:lang w:eastAsia="en-US"/>
        </w:rPr>
        <w:t xml:space="preserve"> </w:t>
      </w:r>
      <w:r w:rsidR="00EE5BBA" w:rsidRPr="00CB37F4">
        <w:rPr>
          <w:rFonts w:cs="Arial"/>
          <w:sz w:val="24"/>
          <w:szCs w:val="24"/>
          <w:lang w:eastAsia="en-US"/>
        </w:rPr>
        <w:t>(Annexure: B)</w:t>
      </w:r>
      <w:r w:rsidRPr="00CB37F4">
        <w:rPr>
          <w:rFonts w:cs="Arial"/>
          <w:sz w:val="24"/>
          <w:szCs w:val="24"/>
          <w:lang w:eastAsia="en-US"/>
        </w:rPr>
        <w:t>.</w:t>
      </w:r>
    </w:p>
    <w:p w:rsidR="007B4D21" w:rsidRPr="00CB37F4" w:rsidRDefault="007B4D21" w:rsidP="00EF7750">
      <w:pPr>
        <w:ind w:firstLine="360"/>
        <w:rPr>
          <w:rFonts w:cs="Arial"/>
          <w:sz w:val="24"/>
          <w:szCs w:val="24"/>
          <w:lang w:eastAsia="en-US"/>
        </w:rPr>
      </w:pPr>
    </w:p>
    <w:p w:rsidR="00F47EBF" w:rsidRPr="00CB37F4" w:rsidRDefault="000A16F4" w:rsidP="00F87DC1">
      <w:pPr>
        <w:rPr>
          <w:rFonts w:cs="Arial"/>
          <w:sz w:val="24"/>
          <w:szCs w:val="24"/>
          <w:lang w:eastAsia="en-US"/>
        </w:rPr>
      </w:pPr>
      <w:r w:rsidRPr="00CB37F4">
        <w:rPr>
          <w:rFonts w:cs="Arial"/>
          <w:sz w:val="24"/>
          <w:szCs w:val="24"/>
          <w:lang w:eastAsia="en-US"/>
        </w:rPr>
        <w:t>In line with established inter-governmental cooperation principles, the PMTE has regular interactions with user departments for the recovery of outstanding debts</w:t>
      </w:r>
      <w:r w:rsidR="008259E9" w:rsidRPr="00CB37F4">
        <w:rPr>
          <w:rFonts w:cs="Arial"/>
          <w:sz w:val="24"/>
          <w:szCs w:val="24"/>
          <w:lang w:eastAsia="en-US"/>
        </w:rPr>
        <w:t xml:space="preserve"> and is</w:t>
      </w:r>
      <w:r w:rsidRPr="00CB37F4">
        <w:rPr>
          <w:rFonts w:cs="Arial"/>
          <w:sz w:val="24"/>
          <w:szCs w:val="24"/>
          <w:lang w:eastAsia="en-US"/>
        </w:rPr>
        <w:t xml:space="preserve"> assisted by </w:t>
      </w:r>
      <w:r w:rsidR="008259E9" w:rsidRPr="00CB37F4">
        <w:rPr>
          <w:rFonts w:cs="Arial"/>
          <w:sz w:val="24"/>
          <w:szCs w:val="24"/>
          <w:lang w:eastAsia="en-US"/>
        </w:rPr>
        <w:t xml:space="preserve">the </w:t>
      </w:r>
      <w:r w:rsidRPr="00CB37F4">
        <w:rPr>
          <w:rFonts w:cs="Arial"/>
          <w:sz w:val="24"/>
          <w:szCs w:val="24"/>
          <w:lang w:eastAsia="en-US"/>
        </w:rPr>
        <w:t>National Treasury where additional funding is required.</w:t>
      </w:r>
    </w:p>
    <w:p w:rsidR="00F47EBF" w:rsidRPr="00F47EBF" w:rsidRDefault="00F47EBF" w:rsidP="00F47EBF">
      <w:pPr>
        <w:rPr>
          <w:rFonts w:cs="Arial"/>
          <w:sz w:val="24"/>
          <w:szCs w:val="24"/>
          <w:lang w:eastAsia="en-US"/>
        </w:rPr>
      </w:pPr>
    </w:p>
    <w:p w:rsidR="00F47EBF" w:rsidRPr="00F47EBF" w:rsidRDefault="00F47EBF" w:rsidP="00F47EBF">
      <w:pPr>
        <w:rPr>
          <w:rFonts w:cs="Arial"/>
          <w:sz w:val="24"/>
          <w:szCs w:val="24"/>
          <w:lang w:eastAsia="en-US"/>
        </w:rPr>
      </w:pPr>
    </w:p>
    <w:p w:rsidR="00F47EBF" w:rsidRDefault="00F47EBF" w:rsidP="00F47EBF">
      <w:pPr>
        <w:rPr>
          <w:rFonts w:cs="Arial"/>
          <w:sz w:val="24"/>
          <w:szCs w:val="24"/>
          <w:lang w:eastAsia="en-US"/>
        </w:rPr>
      </w:pPr>
    </w:p>
    <w:p w:rsidR="00680CEE" w:rsidRPr="00F47EBF" w:rsidRDefault="00F47EBF" w:rsidP="00F47EBF">
      <w:pPr>
        <w:tabs>
          <w:tab w:val="left" w:pos="7537"/>
        </w:tabs>
        <w:rPr>
          <w:rFonts w:cs="Arial"/>
          <w:sz w:val="24"/>
          <w:szCs w:val="24"/>
          <w:lang w:eastAsia="en-US"/>
        </w:rPr>
      </w:pPr>
      <w:r>
        <w:rPr>
          <w:rFonts w:cs="Arial"/>
          <w:sz w:val="24"/>
          <w:szCs w:val="24"/>
          <w:lang w:eastAsia="en-US"/>
        </w:rPr>
        <w:tab/>
      </w:r>
    </w:p>
    <w:sectPr w:rsidR="00680CEE" w:rsidRPr="00F47EBF" w:rsidSect="008B15E8">
      <w:headerReference w:type="default" r:id="rId9"/>
      <w:footerReference w:type="default" r:id="rId10"/>
      <w:pgSz w:w="11907" w:h="16839" w:code="9"/>
      <w:pgMar w:top="851" w:right="104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A2" w:rsidRDefault="00FA51A2" w:rsidP="00B01072">
      <w:r>
        <w:separator/>
      </w:r>
    </w:p>
  </w:endnote>
  <w:endnote w:type="continuationSeparator" w:id="0">
    <w:p w:rsidR="00FA51A2" w:rsidRDefault="00FA51A2"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F47EBF">
      <w:rPr>
        <w:rFonts w:eastAsiaTheme="majorEastAsia" w:cs="Arial"/>
        <w:b/>
        <w:sz w:val="18"/>
        <w:szCs w:val="18"/>
      </w:rPr>
      <w:t>ION NO. 1175</w:t>
    </w:r>
    <w:r w:rsidR="00B5707E">
      <w:rPr>
        <w:rFonts w:cs="Arial"/>
        <w:b/>
        <w:sz w:val="20"/>
        <w:lang w:val="af-ZA" w:eastAsia="en-US"/>
      </w:rPr>
      <w:t xml:space="preserve"> </w:t>
    </w:r>
    <w:r w:rsidR="005B2F46">
      <w:rPr>
        <w:rFonts w:eastAsiaTheme="majorEastAsia" w:cs="Arial"/>
        <w:b/>
        <w:sz w:val="18"/>
        <w:szCs w:val="18"/>
      </w:rPr>
      <w:t>(WRITTEN</w:t>
    </w:r>
    <w:r>
      <w:rPr>
        <w:rFonts w:eastAsiaTheme="majorEastAsia" w:cs="Arial"/>
        <w:b/>
        <w:sz w:val="18"/>
        <w:szCs w:val="18"/>
      </w:rPr>
      <w:t xml:space="preserve"> REPLY</w:t>
    </w:r>
    <w:r w:rsidRPr="00E526CF">
      <w:rPr>
        <w:rFonts w:eastAsiaTheme="majorEastAsia" w:cs="Arial"/>
        <w:b/>
        <w:sz w:val="18"/>
        <w:szCs w:val="18"/>
      </w:rPr>
      <w:t xml:space="preserve">) </w:t>
    </w:r>
    <w:r w:rsidRPr="00F47EBF">
      <w:rPr>
        <w:rFonts w:eastAsiaTheme="majorEastAsia" w:cs="Arial"/>
        <w:b/>
        <w:sz w:val="18"/>
        <w:szCs w:val="18"/>
      </w:rPr>
      <w:t xml:space="preserve">– </w:t>
    </w:r>
    <w:r w:rsidR="00F47EBF" w:rsidRPr="001109D1">
      <w:rPr>
        <w:rFonts w:eastAsia="Calibri" w:cs="Arial"/>
        <w:b/>
        <w:bCs/>
        <w:color w:val="000000" w:themeColor="text1"/>
        <w:sz w:val="18"/>
        <w:szCs w:val="18"/>
        <w:lang w:eastAsia="en-US"/>
      </w:rPr>
      <w:t xml:space="preserve">Ms S P </w:t>
    </w:r>
    <w:r w:rsidR="00F47EBF" w:rsidRPr="001109D1">
      <w:rPr>
        <w:rFonts w:eastAsia="Calibri" w:cs="Arial"/>
        <w:b/>
        <w:color w:val="000000" w:themeColor="text1"/>
        <w:sz w:val="18"/>
        <w:szCs w:val="18"/>
        <w:lang w:eastAsia="en-US"/>
      </w:rPr>
      <w:t>Kopane</w:t>
    </w:r>
    <w:r w:rsidR="00F47EBF" w:rsidRPr="001109D1">
      <w:rPr>
        <w:rFonts w:eastAsia="Calibri" w:cs="Arial"/>
        <w:b/>
        <w:bCs/>
        <w:color w:val="000000" w:themeColor="text1"/>
        <w:sz w:val="18"/>
        <w:szCs w:val="18"/>
        <w:lang w:eastAsia="en-US"/>
      </w:rPr>
      <w:t xml:space="preserve"> </w:t>
    </w:r>
    <w:r w:rsidR="00F47EBF" w:rsidRPr="001109D1">
      <w:rPr>
        <w:rFonts w:eastAsia="Calibri" w:cs="Arial"/>
        <w:b/>
        <w:color w:val="000000" w:themeColor="text1"/>
        <w:sz w:val="18"/>
        <w:szCs w:val="18"/>
        <w:lang w:eastAsia="en-US"/>
      </w:rPr>
      <w:t>(DA)</w:t>
    </w:r>
    <w:r w:rsidR="00F47EBF" w:rsidRPr="000B0D3E">
      <w:rPr>
        <w:rFonts w:eastAsia="Calibri" w:cs="Arial"/>
        <w:b/>
        <w:sz w:val="24"/>
        <w:szCs w:val="24"/>
        <w:lang w:eastAsia="en-US"/>
      </w:rPr>
      <w:t xml:space="preserve"> </w:t>
    </w:r>
    <w:r w:rsidRPr="00E66692">
      <w:rPr>
        <w:rFonts w:eastAsiaTheme="majorEastAsia" w:cs="Arial"/>
        <w:b/>
        <w:sz w:val="18"/>
        <w:szCs w:val="18"/>
      </w:rPr>
      <w:ptab w:relativeTo="margin" w:alignment="right" w:leader="none"/>
    </w:r>
    <w:r w:rsidR="005E35EB">
      <w:rPr>
        <w:rFonts w:eastAsiaTheme="majorEastAsia" w:cs="Arial"/>
        <w:b/>
        <w:sz w:val="18"/>
        <w:szCs w:val="18"/>
      </w:rPr>
      <w:t>PAGE</w:t>
    </w:r>
    <w:r w:rsidRPr="00E66692">
      <w:rPr>
        <w:rFonts w:eastAsiaTheme="majorEastAsia" w:cs="Arial"/>
        <w:b/>
        <w:sz w:val="18"/>
        <w:szCs w:val="18"/>
      </w:rPr>
      <w:t xml:space="preserv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743418" w:rsidRPr="00743418">
      <w:rPr>
        <w:rFonts w:eastAsiaTheme="majorEastAsia" w:cs="Arial"/>
        <w:b/>
        <w:noProof/>
        <w:sz w:val="18"/>
        <w:szCs w:val="18"/>
      </w:rPr>
      <w:t>1</w:t>
    </w:r>
    <w:r w:rsidRPr="00E66692">
      <w:rPr>
        <w:rFonts w:eastAsiaTheme="majorEastAsia" w:cs="Arial"/>
        <w:b/>
        <w:noProof/>
        <w:sz w:val="18"/>
        <w:szCs w:val="18"/>
      </w:rPr>
      <w:fldChar w:fldCharType="end"/>
    </w:r>
  </w:p>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0E6D54" w:rsidRPr="000B4F40" w:rsidRDefault="00FA51A2"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A2" w:rsidRDefault="00FA51A2" w:rsidP="00B01072">
      <w:r>
        <w:separator/>
      </w:r>
    </w:p>
  </w:footnote>
  <w:footnote w:type="continuationSeparator" w:id="0">
    <w:p w:rsidR="00FA51A2" w:rsidRDefault="00FA51A2"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DF756C"/>
    <w:multiLevelType w:val="hybridMultilevel"/>
    <w:tmpl w:val="A5D0A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E1F7BAF"/>
    <w:multiLevelType w:val="hybridMultilevel"/>
    <w:tmpl w:val="9A7CEB92"/>
    <w:lvl w:ilvl="0" w:tplc="706C82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8">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141274"/>
    <w:multiLevelType w:val="hybridMultilevel"/>
    <w:tmpl w:val="FB78EBDE"/>
    <w:lvl w:ilvl="0" w:tplc="80085A7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1A403952"/>
    <w:multiLevelType w:val="hybridMultilevel"/>
    <w:tmpl w:val="EAE4C5B4"/>
    <w:lvl w:ilvl="0" w:tplc="DF7C5A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B3D1DD9"/>
    <w:multiLevelType w:val="hybridMultilevel"/>
    <w:tmpl w:val="AF8E7B66"/>
    <w:lvl w:ilvl="0" w:tplc="7E261CA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4">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5">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6">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20">
    <w:nsid w:val="46A734E8"/>
    <w:multiLevelType w:val="hybridMultilevel"/>
    <w:tmpl w:val="EAE85930"/>
    <w:lvl w:ilvl="0" w:tplc="8554899E">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1">
    <w:nsid w:val="48BE53A0"/>
    <w:multiLevelType w:val="hybridMultilevel"/>
    <w:tmpl w:val="9DB81B2C"/>
    <w:lvl w:ilvl="0" w:tplc="414422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3">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2">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4">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9">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0">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3">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6"/>
  </w:num>
  <w:num w:numId="2">
    <w:abstractNumId w:val="36"/>
  </w:num>
  <w:num w:numId="3">
    <w:abstractNumId w:val="36"/>
  </w:num>
  <w:num w:numId="4">
    <w:abstractNumId w:val="43"/>
  </w:num>
  <w:num w:numId="5">
    <w:abstractNumId w:val="26"/>
  </w:num>
  <w:num w:numId="6">
    <w:abstractNumId w:val="7"/>
  </w:num>
  <w:num w:numId="7">
    <w:abstractNumId w:val="33"/>
  </w:num>
  <w:num w:numId="8">
    <w:abstractNumId w:val="19"/>
  </w:num>
  <w:num w:numId="9">
    <w:abstractNumId w:val="38"/>
  </w:num>
  <w:num w:numId="10">
    <w:abstractNumId w:val="22"/>
  </w:num>
  <w:num w:numId="11">
    <w:abstractNumId w:val="39"/>
  </w:num>
  <w:num w:numId="12">
    <w:abstractNumId w:val="14"/>
  </w:num>
  <w:num w:numId="13">
    <w:abstractNumId w:val="23"/>
  </w:num>
  <w:num w:numId="14">
    <w:abstractNumId w:val="42"/>
  </w:num>
  <w:num w:numId="15">
    <w:abstractNumId w:val="3"/>
  </w:num>
  <w:num w:numId="16">
    <w:abstractNumId w:val="10"/>
  </w:num>
  <w:num w:numId="17">
    <w:abstractNumId w:val="37"/>
  </w:num>
  <w:num w:numId="18">
    <w:abstractNumId w:val="40"/>
  </w:num>
  <w:num w:numId="19">
    <w:abstractNumId w:val="24"/>
  </w:num>
  <w:num w:numId="20">
    <w:abstractNumId w:val="8"/>
  </w:num>
  <w:num w:numId="21">
    <w:abstractNumId w:val="30"/>
  </w:num>
  <w:num w:numId="22">
    <w:abstractNumId w:val="5"/>
  </w:num>
  <w:num w:numId="23">
    <w:abstractNumId w:val="4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num>
  <w:num w:numId="28">
    <w:abstractNumId w:val="17"/>
  </w:num>
  <w:num w:numId="29">
    <w:abstractNumId w:val="16"/>
  </w:num>
  <w:num w:numId="30">
    <w:abstractNumId w:val="35"/>
  </w:num>
  <w:num w:numId="31">
    <w:abstractNumId w:val="31"/>
  </w:num>
  <w:num w:numId="32">
    <w:abstractNumId w:val="32"/>
  </w:num>
  <w:num w:numId="33">
    <w:abstractNumId w:val="28"/>
  </w:num>
  <w:num w:numId="34">
    <w:abstractNumId w:val="25"/>
  </w:num>
  <w:num w:numId="35">
    <w:abstractNumId w:val="18"/>
  </w:num>
  <w:num w:numId="36">
    <w:abstractNumId w:val="0"/>
  </w:num>
  <w:num w:numId="37">
    <w:abstractNumId w:val="1"/>
  </w:num>
  <w:num w:numId="38">
    <w:abstractNumId w:val="2"/>
  </w:num>
  <w:num w:numId="39">
    <w:abstractNumId w:val="1"/>
  </w:num>
  <w:num w:numId="40">
    <w:abstractNumId w:val="34"/>
  </w:num>
  <w:num w:numId="41">
    <w:abstractNumId w:val="9"/>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1"/>
  </w:num>
  <w:num w:numId="45">
    <w:abstractNumId w:val="12"/>
  </w:num>
  <w:num w:numId="46">
    <w:abstractNumId w:val="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2499"/>
    <w:rsid w:val="00012BEB"/>
    <w:rsid w:val="00015EFE"/>
    <w:rsid w:val="000173E2"/>
    <w:rsid w:val="000205FB"/>
    <w:rsid w:val="00020C71"/>
    <w:rsid w:val="00020EBB"/>
    <w:rsid w:val="00021C96"/>
    <w:rsid w:val="00021CD9"/>
    <w:rsid w:val="00021F27"/>
    <w:rsid w:val="00022D2D"/>
    <w:rsid w:val="000327B9"/>
    <w:rsid w:val="00041696"/>
    <w:rsid w:val="00045D9F"/>
    <w:rsid w:val="000528E1"/>
    <w:rsid w:val="00053EB2"/>
    <w:rsid w:val="000574C9"/>
    <w:rsid w:val="00061767"/>
    <w:rsid w:val="00063548"/>
    <w:rsid w:val="00064FF2"/>
    <w:rsid w:val="000656CA"/>
    <w:rsid w:val="00070C85"/>
    <w:rsid w:val="00074F49"/>
    <w:rsid w:val="00081358"/>
    <w:rsid w:val="000822AB"/>
    <w:rsid w:val="00095FFF"/>
    <w:rsid w:val="0009751E"/>
    <w:rsid w:val="000A0360"/>
    <w:rsid w:val="000A08C0"/>
    <w:rsid w:val="000A16F4"/>
    <w:rsid w:val="000B0D3E"/>
    <w:rsid w:val="000B1923"/>
    <w:rsid w:val="000B296F"/>
    <w:rsid w:val="000B4241"/>
    <w:rsid w:val="000B4F40"/>
    <w:rsid w:val="000B62FA"/>
    <w:rsid w:val="000C07E2"/>
    <w:rsid w:val="000C70FB"/>
    <w:rsid w:val="000D3F7C"/>
    <w:rsid w:val="000D41E1"/>
    <w:rsid w:val="000D5A5D"/>
    <w:rsid w:val="000D600B"/>
    <w:rsid w:val="000E0C57"/>
    <w:rsid w:val="000E5E4F"/>
    <w:rsid w:val="000E621E"/>
    <w:rsid w:val="00107822"/>
    <w:rsid w:val="00110781"/>
    <w:rsid w:val="001109D1"/>
    <w:rsid w:val="00111AB1"/>
    <w:rsid w:val="00123E02"/>
    <w:rsid w:val="00125195"/>
    <w:rsid w:val="00131356"/>
    <w:rsid w:val="001340CE"/>
    <w:rsid w:val="00140E93"/>
    <w:rsid w:val="001449BF"/>
    <w:rsid w:val="00152C01"/>
    <w:rsid w:val="00162A0F"/>
    <w:rsid w:val="00162E7F"/>
    <w:rsid w:val="001651D8"/>
    <w:rsid w:val="001729E9"/>
    <w:rsid w:val="00175497"/>
    <w:rsid w:val="00177367"/>
    <w:rsid w:val="001833AC"/>
    <w:rsid w:val="00186B9A"/>
    <w:rsid w:val="001A22C6"/>
    <w:rsid w:val="001B4731"/>
    <w:rsid w:val="001B77CD"/>
    <w:rsid w:val="001C2A53"/>
    <w:rsid w:val="001C2B34"/>
    <w:rsid w:val="001C602F"/>
    <w:rsid w:val="001C6CA1"/>
    <w:rsid w:val="001E486F"/>
    <w:rsid w:val="001F0D11"/>
    <w:rsid w:val="001F1F16"/>
    <w:rsid w:val="001F45A2"/>
    <w:rsid w:val="001F4600"/>
    <w:rsid w:val="00203E0F"/>
    <w:rsid w:val="00206C11"/>
    <w:rsid w:val="002229B7"/>
    <w:rsid w:val="002265CB"/>
    <w:rsid w:val="002309FD"/>
    <w:rsid w:val="0023195F"/>
    <w:rsid w:val="00232D48"/>
    <w:rsid w:val="00233448"/>
    <w:rsid w:val="0023448E"/>
    <w:rsid w:val="00243357"/>
    <w:rsid w:val="00243B96"/>
    <w:rsid w:val="00255871"/>
    <w:rsid w:val="00275F2F"/>
    <w:rsid w:val="00291BC2"/>
    <w:rsid w:val="00294275"/>
    <w:rsid w:val="002968F7"/>
    <w:rsid w:val="002A5D13"/>
    <w:rsid w:val="002B2788"/>
    <w:rsid w:val="002B2F32"/>
    <w:rsid w:val="002C16FE"/>
    <w:rsid w:val="002C175C"/>
    <w:rsid w:val="002C603A"/>
    <w:rsid w:val="002C629D"/>
    <w:rsid w:val="002C734E"/>
    <w:rsid w:val="002C7394"/>
    <w:rsid w:val="002D3568"/>
    <w:rsid w:val="002D4F46"/>
    <w:rsid w:val="003074FB"/>
    <w:rsid w:val="00307BEC"/>
    <w:rsid w:val="00311142"/>
    <w:rsid w:val="00321FAA"/>
    <w:rsid w:val="003241F6"/>
    <w:rsid w:val="00325E8F"/>
    <w:rsid w:val="003269D6"/>
    <w:rsid w:val="00330E0B"/>
    <w:rsid w:val="00343207"/>
    <w:rsid w:val="0034633E"/>
    <w:rsid w:val="00351A07"/>
    <w:rsid w:val="00352AC2"/>
    <w:rsid w:val="003563FA"/>
    <w:rsid w:val="003647DC"/>
    <w:rsid w:val="003718A9"/>
    <w:rsid w:val="003731CC"/>
    <w:rsid w:val="003827CF"/>
    <w:rsid w:val="00382C94"/>
    <w:rsid w:val="00390586"/>
    <w:rsid w:val="00393240"/>
    <w:rsid w:val="003A26CA"/>
    <w:rsid w:val="003B0590"/>
    <w:rsid w:val="003B152A"/>
    <w:rsid w:val="003B783C"/>
    <w:rsid w:val="003D262F"/>
    <w:rsid w:val="003D3867"/>
    <w:rsid w:val="003D7908"/>
    <w:rsid w:val="003E5694"/>
    <w:rsid w:val="003F3ABB"/>
    <w:rsid w:val="003F628A"/>
    <w:rsid w:val="00413C62"/>
    <w:rsid w:val="004168AC"/>
    <w:rsid w:val="00424FD8"/>
    <w:rsid w:val="00426848"/>
    <w:rsid w:val="00432C4E"/>
    <w:rsid w:val="004342FE"/>
    <w:rsid w:val="00435691"/>
    <w:rsid w:val="0044149F"/>
    <w:rsid w:val="00453445"/>
    <w:rsid w:val="004739D7"/>
    <w:rsid w:val="00481037"/>
    <w:rsid w:val="0049133C"/>
    <w:rsid w:val="00493FB3"/>
    <w:rsid w:val="00495CB2"/>
    <w:rsid w:val="0049710C"/>
    <w:rsid w:val="004B3AF9"/>
    <w:rsid w:val="004C3C1E"/>
    <w:rsid w:val="004C5597"/>
    <w:rsid w:val="004C6EB7"/>
    <w:rsid w:val="004D2F24"/>
    <w:rsid w:val="004D388A"/>
    <w:rsid w:val="004D48E8"/>
    <w:rsid w:val="004E4337"/>
    <w:rsid w:val="00501775"/>
    <w:rsid w:val="00515D7F"/>
    <w:rsid w:val="0052239F"/>
    <w:rsid w:val="0053382B"/>
    <w:rsid w:val="005449EC"/>
    <w:rsid w:val="00560E8F"/>
    <w:rsid w:val="00563D73"/>
    <w:rsid w:val="0057746F"/>
    <w:rsid w:val="005836CF"/>
    <w:rsid w:val="00591850"/>
    <w:rsid w:val="005940D1"/>
    <w:rsid w:val="005B1A94"/>
    <w:rsid w:val="005B1E2B"/>
    <w:rsid w:val="005B2F46"/>
    <w:rsid w:val="005C570C"/>
    <w:rsid w:val="005D1762"/>
    <w:rsid w:val="005D477F"/>
    <w:rsid w:val="005E0046"/>
    <w:rsid w:val="005E2D86"/>
    <w:rsid w:val="005E35EB"/>
    <w:rsid w:val="005E535A"/>
    <w:rsid w:val="005E6AF1"/>
    <w:rsid w:val="005F4C62"/>
    <w:rsid w:val="005F527D"/>
    <w:rsid w:val="0060047A"/>
    <w:rsid w:val="006049D3"/>
    <w:rsid w:val="00610BA6"/>
    <w:rsid w:val="00611F40"/>
    <w:rsid w:val="00612E99"/>
    <w:rsid w:val="00613CFF"/>
    <w:rsid w:val="00616097"/>
    <w:rsid w:val="00623007"/>
    <w:rsid w:val="00623053"/>
    <w:rsid w:val="00624A4D"/>
    <w:rsid w:val="00625573"/>
    <w:rsid w:val="006324C3"/>
    <w:rsid w:val="00632CC5"/>
    <w:rsid w:val="006343C2"/>
    <w:rsid w:val="006462D7"/>
    <w:rsid w:val="00670BA5"/>
    <w:rsid w:val="00675570"/>
    <w:rsid w:val="00680CEE"/>
    <w:rsid w:val="00684BB6"/>
    <w:rsid w:val="00685646"/>
    <w:rsid w:val="0069369D"/>
    <w:rsid w:val="006A027A"/>
    <w:rsid w:val="006A05C9"/>
    <w:rsid w:val="006B79CB"/>
    <w:rsid w:val="006C0BAE"/>
    <w:rsid w:val="006C3E5B"/>
    <w:rsid w:val="006D0841"/>
    <w:rsid w:val="006D1A51"/>
    <w:rsid w:val="006D4597"/>
    <w:rsid w:val="006D64EC"/>
    <w:rsid w:val="006D689A"/>
    <w:rsid w:val="006D721A"/>
    <w:rsid w:val="006E54EA"/>
    <w:rsid w:val="006F2930"/>
    <w:rsid w:val="006F36F8"/>
    <w:rsid w:val="006F490A"/>
    <w:rsid w:val="007010E9"/>
    <w:rsid w:val="00705DD0"/>
    <w:rsid w:val="00712D78"/>
    <w:rsid w:val="0071352F"/>
    <w:rsid w:val="007144AF"/>
    <w:rsid w:val="00721E9A"/>
    <w:rsid w:val="00722A7B"/>
    <w:rsid w:val="00726A32"/>
    <w:rsid w:val="0073270F"/>
    <w:rsid w:val="007422B3"/>
    <w:rsid w:val="00743418"/>
    <w:rsid w:val="00745D4E"/>
    <w:rsid w:val="007467C9"/>
    <w:rsid w:val="00755071"/>
    <w:rsid w:val="00760721"/>
    <w:rsid w:val="00760875"/>
    <w:rsid w:val="00794233"/>
    <w:rsid w:val="007950DA"/>
    <w:rsid w:val="007A03D5"/>
    <w:rsid w:val="007B4D21"/>
    <w:rsid w:val="007C061F"/>
    <w:rsid w:val="007D1543"/>
    <w:rsid w:val="007E0072"/>
    <w:rsid w:val="007E3B7C"/>
    <w:rsid w:val="007E4E3E"/>
    <w:rsid w:val="007E63B3"/>
    <w:rsid w:val="007E6530"/>
    <w:rsid w:val="007F4B91"/>
    <w:rsid w:val="008039CD"/>
    <w:rsid w:val="008127B7"/>
    <w:rsid w:val="008232E5"/>
    <w:rsid w:val="008259E9"/>
    <w:rsid w:val="00831485"/>
    <w:rsid w:val="00836EA0"/>
    <w:rsid w:val="00836EA6"/>
    <w:rsid w:val="00846C06"/>
    <w:rsid w:val="00850A5D"/>
    <w:rsid w:val="008717E7"/>
    <w:rsid w:val="00873D00"/>
    <w:rsid w:val="0088064A"/>
    <w:rsid w:val="00880888"/>
    <w:rsid w:val="0088219E"/>
    <w:rsid w:val="008845A5"/>
    <w:rsid w:val="008864DB"/>
    <w:rsid w:val="00895B01"/>
    <w:rsid w:val="008A5DCC"/>
    <w:rsid w:val="008A7CC3"/>
    <w:rsid w:val="008B15E8"/>
    <w:rsid w:val="008B3660"/>
    <w:rsid w:val="008C472C"/>
    <w:rsid w:val="008D1494"/>
    <w:rsid w:val="008E0858"/>
    <w:rsid w:val="008F177A"/>
    <w:rsid w:val="009148F7"/>
    <w:rsid w:val="00914A41"/>
    <w:rsid w:val="00916071"/>
    <w:rsid w:val="00916D71"/>
    <w:rsid w:val="00926BCD"/>
    <w:rsid w:val="00940E46"/>
    <w:rsid w:val="00970F77"/>
    <w:rsid w:val="00976436"/>
    <w:rsid w:val="009776AC"/>
    <w:rsid w:val="00980BB4"/>
    <w:rsid w:val="00997315"/>
    <w:rsid w:val="009A121F"/>
    <w:rsid w:val="009A34AE"/>
    <w:rsid w:val="009B418A"/>
    <w:rsid w:val="009B5534"/>
    <w:rsid w:val="009B7DB2"/>
    <w:rsid w:val="009D72B9"/>
    <w:rsid w:val="009F425B"/>
    <w:rsid w:val="009F4EFA"/>
    <w:rsid w:val="009F691F"/>
    <w:rsid w:val="00A001D1"/>
    <w:rsid w:val="00A213AD"/>
    <w:rsid w:val="00A23D03"/>
    <w:rsid w:val="00A4432D"/>
    <w:rsid w:val="00A46014"/>
    <w:rsid w:val="00A479F5"/>
    <w:rsid w:val="00A50E27"/>
    <w:rsid w:val="00A5375C"/>
    <w:rsid w:val="00A70E0E"/>
    <w:rsid w:val="00A7275E"/>
    <w:rsid w:val="00A74C8E"/>
    <w:rsid w:val="00A82594"/>
    <w:rsid w:val="00A83487"/>
    <w:rsid w:val="00A852C4"/>
    <w:rsid w:val="00A91F96"/>
    <w:rsid w:val="00A97DD1"/>
    <w:rsid w:val="00AA56F8"/>
    <w:rsid w:val="00AB01ED"/>
    <w:rsid w:val="00AB05F6"/>
    <w:rsid w:val="00AB4EB5"/>
    <w:rsid w:val="00AD0F40"/>
    <w:rsid w:val="00AD36D1"/>
    <w:rsid w:val="00AE2E32"/>
    <w:rsid w:val="00AE3D8F"/>
    <w:rsid w:val="00AF1E6E"/>
    <w:rsid w:val="00B00665"/>
    <w:rsid w:val="00B00D22"/>
    <w:rsid w:val="00B01072"/>
    <w:rsid w:val="00B016B6"/>
    <w:rsid w:val="00B04A42"/>
    <w:rsid w:val="00B04C0E"/>
    <w:rsid w:val="00B21C24"/>
    <w:rsid w:val="00B32F50"/>
    <w:rsid w:val="00B40287"/>
    <w:rsid w:val="00B44E3D"/>
    <w:rsid w:val="00B5707E"/>
    <w:rsid w:val="00B6462A"/>
    <w:rsid w:val="00B7336E"/>
    <w:rsid w:val="00B76EA0"/>
    <w:rsid w:val="00B7781B"/>
    <w:rsid w:val="00B80EC0"/>
    <w:rsid w:val="00BB23E9"/>
    <w:rsid w:val="00BD53C1"/>
    <w:rsid w:val="00BD6CA5"/>
    <w:rsid w:val="00BE69C6"/>
    <w:rsid w:val="00C13BCD"/>
    <w:rsid w:val="00C143AE"/>
    <w:rsid w:val="00C143C0"/>
    <w:rsid w:val="00C16434"/>
    <w:rsid w:val="00C204F9"/>
    <w:rsid w:val="00C2072D"/>
    <w:rsid w:val="00C248F1"/>
    <w:rsid w:val="00C25117"/>
    <w:rsid w:val="00C438C9"/>
    <w:rsid w:val="00C55CF0"/>
    <w:rsid w:val="00C734C8"/>
    <w:rsid w:val="00C94B70"/>
    <w:rsid w:val="00CA1ED8"/>
    <w:rsid w:val="00CB37F4"/>
    <w:rsid w:val="00CB4CE0"/>
    <w:rsid w:val="00CC07E1"/>
    <w:rsid w:val="00CC255F"/>
    <w:rsid w:val="00CC2ECC"/>
    <w:rsid w:val="00CC69B7"/>
    <w:rsid w:val="00CD26FC"/>
    <w:rsid w:val="00CD428A"/>
    <w:rsid w:val="00CE2E81"/>
    <w:rsid w:val="00CE70D6"/>
    <w:rsid w:val="00D00A7D"/>
    <w:rsid w:val="00D14B85"/>
    <w:rsid w:val="00D26A6A"/>
    <w:rsid w:val="00D31B6A"/>
    <w:rsid w:val="00D377B6"/>
    <w:rsid w:val="00D41166"/>
    <w:rsid w:val="00D42FF6"/>
    <w:rsid w:val="00D43797"/>
    <w:rsid w:val="00D437F5"/>
    <w:rsid w:val="00D51778"/>
    <w:rsid w:val="00D73409"/>
    <w:rsid w:val="00D74A2D"/>
    <w:rsid w:val="00D82B08"/>
    <w:rsid w:val="00D857EF"/>
    <w:rsid w:val="00DA2189"/>
    <w:rsid w:val="00DA5567"/>
    <w:rsid w:val="00DC0282"/>
    <w:rsid w:val="00DC10B2"/>
    <w:rsid w:val="00DC270A"/>
    <w:rsid w:val="00DC4E5A"/>
    <w:rsid w:val="00DC5378"/>
    <w:rsid w:val="00DC7EE3"/>
    <w:rsid w:val="00DD25EB"/>
    <w:rsid w:val="00DD2E6A"/>
    <w:rsid w:val="00DD5FC2"/>
    <w:rsid w:val="00DE05AF"/>
    <w:rsid w:val="00DE0EAA"/>
    <w:rsid w:val="00DE24CD"/>
    <w:rsid w:val="00DF1799"/>
    <w:rsid w:val="00DF1AAF"/>
    <w:rsid w:val="00DF6074"/>
    <w:rsid w:val="00E0095B"/>
    <w:rsid w:val="00E0385B"/>
    <w:rsid w:val="00E11749"/>
    <w:rsid w:val="00E123EB"/>
    <w:rsid w:val="00E16F8D"/>
    <w:rsid w:val="00E23474"/>
    <w:rsid w:val="00E272CB"/>
    <w:rsid w:val="00E275CB"/>
    <w:rsid w:val="00E36049"/>
    <w:rsid w:val="00E3748A"/>
    <w:rsid w:val="00E44ADB"/>
    <w:rsid w:val="00E5230C"/>
    <w:rsid w:val="00E526CF"/>
    <w:rsid w:val="00E60FD3"/>
    <w:rsid w:val="00E66692"/>
    <w:rsid w:val="00E74EEE"/>
    <w:rsid w:val="00E779E4"/>
    <w:rsid w:val="00E808B7"/>
    <w:rsid w:val="00E8666B"/>
    <w:rsid w:val="00EA26C6"/>
    <w:rsid w:val="00EB08B4"/>
    <w:rsid w:val="00EB2C0B"/>
    <w:rsid w:val="00EC4852"/>
    <w:rsid w:val="00ED01CA"/>
    <w:rsid w:val="00ED18ED"/>
    <w:rsid w:val="00ED4290"/>
    <w:rsid w:val="00EE2AEC"/>
    <w:rsid w:val="00EE3B3E"/>
    <w:rsid w:val="00EE465F"/>
    <w:rsid w:val="00EE5BBA"/>
    <w:rsid w:val="00EF1C60"/>
    <w:rsid w:val="00EF2079"/>
    <w:rsid w:val="00EF25FA"/>
    <w:rsid w:val="00EF3E7D"/>
    <w:rsid w:val="00EF608A"/>
    <w:rsid w:val="00EF7750"/>
    <w:rsid w:val="00EF7DE9"/>
    <w:rsid w:val="00F007A3"/>
    <w:rsid w:val="00F07CC1"/>
    <w:rsid w:val="00F13561"/>
    <w:rsid w:val="00F21013"/>
    <w:rsid w:val="00F26CF4"/>
    <w:rsid w:val="00F26E1D"/>
    <w:rsid w:val="00F318FF"/>
    <w:rsid w:val="00F3566A"/>
    <w:rsid w:val="00F35DFD"/>
    <w:rsid w:val="00F43075"/>
    <w:rsid w:val="00F47EBF"/>
    <w:rsid w:val="00F50930"/>
    <w:rsid w:val="00F5621E"/>
    <w:rsid w:val="00F57765"/>
    <w:rsid w:val="00F63F16"/>
    <w:rsid w:val="00F73C7B"/>
    <w:rsid w:val="00F74168"/>
    <w:rsid w:val="00F8042B"/>
    <w:rsid w:val="00F809F4"/>
    <w:rsid w:val="00F84401"/>
    <w:rsid w:val="00F84A5B"/>
    <w:rsid w:val="00F87DC1"/>
    <w:rsid w:val="00F909F1"/>
    <w:rsid w:val="00F930FA"/>
    <w:rsid w:val="00F97E39"/>
    <w:rsid w:val="00FA039D"/>
    <w:rsid w:val="00FA51A2"/>
    <w:rsid w:val="00FA5EB0"/>
    <w:rsid w:val="00FC336B"/>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8C07A-4280-423B-9DD9-32C3B432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8740-BEC4-4D55-AC6B-73542291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2017-05-22T07:08:00Z</cp:lastPrinted>
  <dcterms:created xsi:type="dcterms:W3CDTF">2017-06-05T09:19:00Z</dcterms:created>
  <dcterms:modified xsi:type="dcterms:W3CDTF">2017-06-05T09:19:00Z</dcterms:modified>
</cp:coreProperties>
</file>