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FC119A">
      <w:pPr>
        <w:pStyle w:val="Title"/>
        <w:jc w:val="both"/>
        <w:rPr>
          <w:rFonts w:ascii="Arial Narrow" w:hAnsi="Arial Narrow"/>
        </w:rPr>
      </w:pPr>
    </w:p>
    <w:p w:rsidR="00DE1B3A" w:rsidRDefault="00DE1B3A" w:rsidP="00FC119A">
      <w:pPr>
        <w:pStyle w:val="Title"/>
        <w:jc w:val="both"/>
        <w:rPr>
          <w:rFonts w:ascii="Arial Narrow" w:hAnsi="Arial Narrow"/>
        </w:rPr>
      </w:pPr>
    </w:p>
    <w:p w:rsidR="00DE1B3A" w:rsidRDefault="00DE1B3A" w:rsidP="00FC119A">
      <w:pPr>
        <w:pStyle w:val="Title"/>
        <w:jc w:val="both"/>
        <w:rPr>
          <w:rFonts w:ascii="Arial Narrow" w:hAnsi="Arial Narrow"/>
        </w:rPr>
      </w:pPr>
    </w:p>
    <w:p w:rsidR="00DE1B3A" w:rsidRDefault="00DE1B3A" w:rsidP="00FC119A">
      <w:pPr>
        <w:pStyle w:val="Title"/>
        <w:jc w:val="both"/>
        <w:rPr>
          <w:rFonts w:ascii="Arial Narrow" w:hAnsi="Arial Narrow"/>
        </w:rPr>
      </w:pPr>
    </w:p>
    <w:p w:rsidR="00DE1B3A" w:rsidRDefault="00A00487" w:rsidP="00FC119A">
      <w:pPr>
        <w:pStyle w:val="Title"/>
        <w:jc w:val="both"/>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772673" w:rsidRDefault="00383286" w:rsidP="00FC119A">
      <w:pPr>
        <w:pStyle w:val="Title"/>
        <w:jc w:val="both"/>
      </w:pPr>
      <w:r w:rsidRPr="00772673">
        <w:t xml:space="preserve">NATIONAL </w:t>
      </w:r>
      <w:r w:rsidR="003164ED" w:rsidRPr="00772673">
        <w:t>ASSEMBLY</w:t>
      </w:r>
    </w:p>
    <w:p w:rsidR="00383286" w:rsidRPr="00772673" w:rsidRDefault="00383286" w:rsidP="00FC119A">
      <w:pPr>
        <w:spacing w:line="320" w:lineRule="exact"/>
        <w:jc w:val="both"/>
        <w:rPr>
          <w:rFonts w:ascii="Arial" w:hAnsi="Arial" w:cs="Arial"/>
        </w:rPr>
      </w:pPr>
    </w:p>
    <w:p w:rsidR="00383286" w:rsidRPr="00772673" w:rsidRDefault="00DE1B3A" w:rsidP="00FC119A">
      <w:pPr>
        <w:spacing w:line="320" w:lineRule="exact"/>
        <w:jc w:val="both"/>
        <w:rPr>
          <w:rFonts w:ascii="Arial" w:hAnsi="Arial" w:cs="Arial"/>
          <w:b/>
          <w:bCs/>
        </w:rPr>
      </w:pPr>
      <w:r w:rsidRPr="00772673">
        <w:rPr>
          <w:rFonts w:ascii="Arial" w:hAnsi="Arial" w:cs="Arial"/>
          <w:b/>
          <w:bCs/>
        </w:rPr>
        <w:t xml:space="preserve">QUESTION </w:t>
      </w:r>
      <w:r w:rsidR="00383286" w:rsidRPr="00772673">
        <w:rPr>
          <w:rFonts w:ascii="Arial" w:hAnsi="Arial" w:cs="Arial"/>
          <w:b/>
          <w:bCs/>
        </w:rPr>
        <w:t xml:space="preserve">FOR </w:t>
      </w:r>
      <w:r w:rsidR="00934463" w:rsidRPr="00772673">
        <w:rPr>
          <w:rFonts w:ascii="Arial" w:hAnsi="Arial" w:cs="Arial"/>
          <w:b/>
          <w:bCs/>
        </w:rPr>
        <w:t>WRITTEN REPLY</w:t>
      </w:r>
    </w:p>
    <w:p w:rsidR="00383286" w:rsidRPr="00772673" w:rsidRDefault="00383286" w:rsidP="00FC119A">
      <w:pPr>
        <w:spacing w:line="320" w:lineRule="exact"/>
        <w:jc w:val="both"/>
        <w:rPr>
          <w:rFonts w:ascii="Arial" w:hAnsi="Arial" w:cs="Arial"/>
          <w:b/>
          <w:bCs/>
        </w:rPr>
      </w:pPr>
    </w:p>
    <w:p w:rsidR="00383286" w:rsidRPr="00772673" w:rsidRDefault="00383286" w:rsidP="00FC119A">
      <w:pPr>
        <w:pStyle w:val="Heading1"/>
        <w:spacing w:line="320" w:lineRule="exact"/>
        <w:rPr>
          <w:u w:val="none"/>
        </w:rPr>
      </w:pPr>
      <w:r w:rsidRPr="00772673">
        <w:rPr>
          <w:u w:val="none"/>
        </w:rPr>
        <w:t xml:space="preserve">QUESTION </w:t>
      </w:r>
      <w:r w:rsidR="00DE1B3A" w:rsidRPr="00772673">
        <w:rPr>
          <w:u w:val="none"/>
        </w:rPr>
        <w:t xml:space="preserve">NO. </w:t>
      </w:r>
      <w:r w:rsidR="0055541E" w:rsidRPr="00772673">
        <w:rPr>
          <w:u w:val="none"/>
        </w:rPr>
        <w:t>1</w:t>
      </w:r>
      <w:r w:rsidR="00525CC2" w:rsidRPr="00772673">
        <w:rPr>
          <w:u w:val="none"/>
        </w:rPr>
        <w:t>175</w:t>
      </w:r>
    </w:p>
    <w:p w:rsidR="009357F9" w:rsidRPr="00772673" w:rsidRDefault="009357F9" w:rsidP="00FC119A">
      <w:pPr>
        <w:jc w:val="both"/>
        <w:rPr>
          <w:rFonts w:ascii="Arial" w:hAnsi="Arial" w:cs="Arial"/>
        </w:rPr>
      </w:pPr>
    </w:p>
    <w:p w:rsidR="00383286" w:rsidRPr="00772673" w:rsidRDefault="00383286" w:rsidP="00FC119A">
      <w:pPr>
        <w:spacing w:line="320" w:lineRule="exact"/>
        <w:jc w:val="both"/>
        <w:rPr>
          <w:rFonts w:ascii="Arial" w:hAnsi="Arial" w:cs="Arial"/>
          <w:b/>
          <w:bCs/>
        </w:rPr>
      </w:pPr>
      <w:r w:rsidRPr="00772673">
        <w:rPr>
          <w:rFonts w:ascii="Arial" w:hAnsi="Arial" w:cs="Arial"/>
          <w:b/>
          <w:bCs/>
        </w:rPr>
        <w:t xml:space="preserve">DATE OF PUBLICATION: </w:t>
      </w:r>
      <w:r w:rsidR="00525CC2" w:rsidRPr="00772673">
        <w:rPr>
          <w:rFonts w:ascii="Arial" w:hAnsi="Arial" w:cs="Arial"/>
          <w:b/>
          <w:bCs/>
        </w:rPr>
        <w:t>Friday</w:t>
      </w:r>
      <w:r w:rsidR="00934463" w:rsidRPr="00772673">
        <w:rPr>
          <w:rFonts w:ascii="Arial" w:hAnsi="Arial" w:cs="Arial"/>
          <w:b/>
          <w:bCs/>
        </w:rPr>
        <w:t xml:space="preserve">, </w:t>
      </w:r>
      <w:r w:rsidR="00525CC2" w:rsidRPr="00772673">
        <w:rPr>
          <w:rFonts w:ascii="Arial" w:hAnsi="Arial" w:cs="Arial"/>
          <w:b/>
          <w:bCs/>
        </w:rPr>
        <w:t xml:space="preserve">22 </w:t>
      </w:r>
      <w:r w:rsidR="003A05FE" w:rsidRPr="00772673">
        <w:rPr>
          <w:rFonts w:ascii="Arial" w:hAnsi="Arial" w:cs="Arial"/>
          <w:b/>
          <w:bCs/>
        </w:rPr>
        <w:t xml:space="preserve">April </w:t>
      </w:r>
      <w:r w:rsidR="001B2CD7" w:rsidRPr="00772673">
        <w:rPr>
          <w:rFonts w:ascii="Arial" w:hAnsi="Arial" w:cs="Arial"/>
          <w:b/>
          <w:bCs/>
        </w:rPr>
        <w:t>2016</w:t>
      </w:r>
      <w:r w:rsidR="000139AD" w:rsidRPr="00772673">
        <w:rPr>
          <w:rFonts w:ascii="Arial" w:hAnsi="Arial" w:cs="Arial"/>
          <w:b/>
          <w:bCs/>
        </w:rPr>
        <w:t xml:space="preserve"> </w:t>
      </w:r>
    </w:p>
    <w:p w:rsidR="00383286" w:rsidRPr="00772673" w:rsidRDefault="00383286" w:rsidP="00FC119A">
      <w:pPr>
        <w:spacing w:line="320" w:lineRule="exact"/>
        <w:jc w:val="both"/>
        <w:rPr>
          <w:rFonts w:ascii="Arial" w:hAnsi="Arial" w:cs="Arial"/>
          <w:b/>
          <w:bCs/>
        </w:rPr>
      </w:pPr>
    </w:p>
    <w:p w:rsidR="00383286" w:rsidRPr="00772673" w:rsidRDefault="009357F9" w:rsidP="00FC119A">
      <w:pPr>
        <w:pStyle w:val="Heading2"/>
        <w:spacing w:line="320" w:lineRule="exact"/>
        <w:jc w:val="both"/>
        <w:rPr>
          <w:u w:val="none"/>
        </w:rPr>
      </w:pPr>
      <w:r w:rsidRPr="00772673">
        <w:rPr>
          <w:u w:val="none"/>
        </w:rPr>
        <w:t xml:space="preserve">INTERNAL QUESTION PAPER </w:t>
      </w:r>
      <w:r w:rsidR="003A05FE" w:rsidRPr="00772673">
        <w:rPr>
          <w:u w:val="none"/>
        </w:rPr>
        <w:t>1</w:t>
      </w:r>
      <w:r w:rsidR="00525CC2" w:rsidRPr="00772673">
        <w:rPr>
          <w:u w:val="none"/>
        </w:rPr>
        <w:t>2</w:t>
      </w:r>
      <w:r w:rsidR="003A05FE" w:rsidRPr="00772673">
        <w:rPr>
          <w:u w:val="none"/>
        </w:rPr>
        <w:t xml:space="preserve"> </w:t>
      </w:r>
      <w:r w:rsidRPr="00772673">
        <w:rPr>
          <w:u w:val="none"/>
        </w:rPr>
        <w:t>OF 201</w:t>
      </w:r>
      <w:r w:rsidR="001B2CD7" w:rsidRPr="00772673">
        <w:rPr>
          <w:u w:val="none"/>
        </w:rPr>
        <w:t>6</w:t>
      </w:r>
    </w:p>
    <w:p w:rsidR="00CD4224" w:rsidRPr="00772673" w:rsidRDefault="00CD4224" w:rsidP="00FC119A">
      <w:pPr>
        <w:spacing w:line="320" w:lineRule="exact"/>
        <w:jc w:val="both"/>
        <w:outlineLvl w:val="0"/>
        <w:rPr>
          <w:rFonts w:ascii="Arial" w:hAnsi="Arial" w:cs="Arial"/>
        </w:rPr>
      </w:pPr>
    </w:p>
    <w:p w:rsidR="009357F9" w:rsidRPr="00772673" w:rsidRDefault="009357F9" w:rsidP="00FC119A">
      <w:pPr>
        <w:spacing w:line="320" w:lineRule="exact"/>
        <w:jc w:val="both"/>
        <w:rPr>
          <w:rFonts w:ascii="Arial" w:hAnsi="Arial" w:cs="Arial"/>
          <w:b/>
          <w:lang w:val="en-US"/>
        </w:rPr>
      </w:pPr>
    </w:p>
    <w:p w:rsidR="00934463" w:rsidRPr="00772673" w:rsidRDefault="00525CC2" w:rsidP="00FC119A">
      <w:pPr>
        <w:spacing w:line="320" w:lineRule="exact"/>
        <w:jc w:val="both"/>
        <w:rPr>
          <w:rFonts w:ascii="Arial" w:hAnsi="Arial" w:cs="Arial"/>
          <w:b/>
          <w:lang w:val="en-US"/>
        </w:rPr>
      </w:pPr>
      <w:r w:rsidRPr="00772673">
        <w:rPr>
          <w:rFonts w:ascii="Arial" w:hAnsi="Arial" w:cs="Arial"/>
          <w:b/>
          <w:lang w:val="en-US"/>
        </w:rPr>
        <w:t>1175.</w:t>
      </w:r>
      <w:r w:rsidRPr="00772673">
        <w:rPr>
          <w:rFonts w:ascii="Arial" w:hAnsi="Arial" w:cs="Arial"/>
          <w:b/>
          <w:lang w:val="en-US"/>
        </w:rPr>
        <w:tab/>
        <w:t>Mr M H Hoosen (DA) to ask the Minister of Home Affairs</w:t>
      </w:r>
      <w:r w:rsidR="0055541E" w:rsidRPr="00772673">
        <w:rPr>
          <w:rFonts w:ascii="Arial" w:hAnsi="Arial" w:cs="Arial"/>
          <w:b/>
          <w:lang w:val="en-US"/>
        </w:rPr>
        <w:t>:</w:t>
      </w:r>
    </w:p>
    <w:p w:rsidR="00596F85" w:rsidRPr="00772673" w:rsidRDefault="00596F85" w:rsidP="00FC119A">
      <w:pPr>
        <w:spacing w:line="320" w:lineRule="exact"/>
        <w:jc w:val="both"/>
        <w:rPr>
          <w:rFonts w:ascii="Arial" w:hAnsi="Arial" w:cs="Arial"/>
          <w:lang w:val="en-US"/>
        </w:rPr>
      </w:pPr>
    </w:p>
    <w:p w:rsidR="00525CC2" w:rsidRPr="00772673" w:rsidRDefault="00525CC2" w:rsidP="00FC119A">
      <w:pPr>
        <w:spacing w:line="320" w:lineRule="exact"/>
        <w:ind w:left="709" w:hanging="709"/>
        <w:jc w:val="both"/>
        <w:rPr>
          <w:rFonts w:ascii="Arial" w:hAnsi="Arial" w:cs="Arial"/>
          <w:lang w:val="en-US"/>
        </w:rPr>
      </w:pPr>
      <w:r w:rsidRPr="00772673">
        <w:rPr>
          <w:rFonts w:ascii="Arial" w:hAnsi="Arial" w:cs="Arial"/>
          <w:lang w:val="en-US"/>
        </w:rPr>
        <w:t xml:space="preserve">(1) </w:t>
      </w:r>
      <w:r w:rsidRPr="00772673">
        <w:rPr>
          <w:rFonts w:ascii="Arial" w:hAnsi="Arial" w:cs="Arial"/>
          <w:lang w:val="en-US"/>
        </w:rPr>
        <w:tab/>
        <w:t>How many records of voters with valid physical addresses appeared on the final voters’ roll of the local government elections in (a) 2001, (b) 2006 and (c) 2011;</w:t>
      </w:r>
    </w:p>
    <w:p w:rsidR="00525CC2" w:rsidRPr="00772673" w:rsidRDefault="00525CC2" w:rsidP="00FC119A">
      <w:pPr>
        <w:spacing w:line="320" w:lineRule="exact"/>
        <w:ind w:left="709" w:hanging="709"/>
        <w:jc w:val="both"/>
        <w:rPr>
          <w:rFonts w:ascii="Arial" w:hAnsi="Arial" w:cs="Arial"/>
          <w:lang w:val="en-US"/>
        </w:rPr>
      </w:pPr>
      <w:r w:rsidRPr="00772673">
        <w:rPr>
          <w:rFonts w:ascii="Arial" w:hAnsi="Arial" w:cs="Arial"/>
          <w:lang w:val="en-US"/>
        </w:rPr>
        <w:t>(2)</w:t>
      </w:r>
      <w:r w:rsidRPr="00772673">
        <w:rPr>
          <w:rFonts w:ascii="Arial" w:hAnsi="Arial" w:cs="Arial"/>
          <w:lang w:val="en-US"/>
        </w:rPr>
        <w:tab/>
        <w:t>how many records of voters with valid physical addresses (a) appeared on the final voters’ roll of the (i) provincial and (ii) national elections in (aa) 2004, (bb) 2009 and (cc) 2014 and (b) appear on the most recently updated voters’ roll for the 2016 local government elections;</w:t>
      </w:r>
    </w:p>
    <w:p w:rsidR="00525CC2" w:rsidRPr="00772673" w:rsidRDefault="00525CC2" w:rsidP="00FC119A">
      <w:pPr>
        <w:spacing w:line="320" w:lineRule="exact"/>
        <w:ind w:left="709" w:hanging="709"/>
        <w:jc w:val="both"/>
        <w:rPr>
          <w:rFonts w:ascii="Arial" w:hAnsi="Arial" w:cs="Arial"/>
          <w:lang w:val="en-US"/>
        </w:rPr>
      </w:pPr>
      <w:r w:rsidRPr="00772673">
        <w:rPr>
          <w:rFonts w:ascii="Arial" w:hAnsi="Arial" w:cs="Arial"/>
          <w:lang w:val="en-US"/>
        </w:rPr>
        <w:t>(3)</w:t>
      </w:r>
      <w:r w:rsidRPr="00772673">
        <w:rPr>
          <w:rFonts w:ascii="Arial" w:hAnsi="Arial" w:cs="Arial"/>
          <w:lang w:val="en-US"/>
        </w:rPr>
        <w:tab/>
        <w:t xml:space="preserve">whether there has been any reduction in the number of records of voters with valid physical addresses since 2004; if so, </w:t>
      </w:r>
    </w:p>
    <w:p w:rsidR="00216F16" w:rsidRPr="00772673" w:rsidRDefault="00525CC2" w:rsidP="00FC119A">
      <w:pPr>
        <w:spacing w:line="320" w:lineRule="exact"/>
        <w:ind w:left="709" w:hanging="709"/>
        <w:jc w:val="both"/>
        <w:rPr>
          <w:rFonts w:ascii="Arial" w:hAnsi="Arial" w:cs="Arial"/>
          <w:b/>
        </w:rPr>
      </w:pPr>
      <w:r w:rsidRPr="00772673">
        <w:rPr>
          <w:rFonts w:ascii="Arial" w:hAnsi="Arial" w:cs="Arial"/>
          <w:lang w:val="en-US"/>
        </w:rPr>
        <w:t xml:space="preserve">(4) </w:t>
      </w:r>
      <w:r w:rsidRPr="00772673">
        <w:rPr>
          <w:rFonts w:ascii="Arial" w:hAnsi="Arial" w:cs="Arial"/>
          <w:lang w:val="en-US"/>
        </w:rPr>
        <w:tab/>
        <w:t>has any of the specified records been (a) lost and/or (b) destroyed due to fire, floods and/or any other reason; if so, (i) how many and (ii) what are the further relevant details?</w:t>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r>
      <w:r w:rsidRPr="00772673">
        <w:rPr>
          <w:rFonts w:ascii="Arial" w:hAnsi="Arial" w:cs="Arial"/>
          <w:lang w:val="en-US"/>
        </w:rPr>
        <w:tab/>
        <w:t>NW1314E</w:t>
      </w:r>
      <w:r w:rsidR="00241BBF"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291BAE" w:rsidRPr="00772673">
        <w:rPr>
          <w:rFonts w:ascii="Arial" w:hAnsi="Arial" w:cs="Arial"/>
          <w:lang w:val="en-US"/>
        </w:rPr>
        <w:tab/>
      </w:r>
      <w:r w:rsidR="003A05FE" w:rsidRPr="00772673">
        <w:rPr>
          <w:rFonts w:ascii="Arial" w:hAnsi="Arial" w:cs="Arial"/>
          <w:lang w:val="en-US"/>
        </w:rPr>
        <w:tab/>
      </w:r>
      <w:r w:rsidR="003A05FE" w:rsidRPr="00772673">
        <w:rPr>
          <w:rFonts w:ascii="Arial" w:hAnsi="Arial" w:cs="Arial"/>
          <w:lang w:val="en-US"/>
        </w:rPr>
        <w:tab/>
      </w:r>
      <w:r w:rsidR="003A05FE" w:rsidRPr="00772673">
        <w:rPr>
          <w:rFonts w:ascii="Arial" w:hAnsi="Arial" w:cs="Arial"/>
          <w:lang w:val="en-US"/>
        </w:rPr>
        <w:tab/>
      </w:r>
      <w:r w:rsidR="003A05FE" w:rsidRPr="00772673">
        <w:rPr>
          <w:rFonts w:ascii="Arial" w:hAnsi="Arial" w:cs="Arial"/>
          <w:lang w:val="en-US"/>
        </w:rPr>
        <w:tab/>
      </w:r>
      <w:r w:rsidR="00216F16" w:rsidRPr="00772673">
        <w:rPr>
          <w:rFonts w:ascii="Arial" w:hAnsi="Arial" w:cs="Arial"/>
          <w:lang w:val="en-US"/>
        </w:rPr>
        <w:tab/>
      </w:r>
      <w:r w:rsidR="00216F16" w:rsidRPr="00772673">
        <w:rPr>
          <w:rFonts w:ascii="Arial" w:hAnsi="Arial" w:cs="Arial"/>
          <w:lang w:val="en-US"/>
        </w:rPr>
        <w:tab/>
      </w:r>
      <w:r w:rsidR="00216F16" w:rsidRPr="00772673">
        <w:rPr>
          <w:rFonts w:ascii="Arial" w:hAnsi="Arial" w:cs="Arial"/>
          <w:lang w:val="en-US"/>
        </w:rPr>
        <w:tab/>
      </w:r>
    </w:p>
    <w:p w:rsidR="00FF55EE" w:rsidRPr="00772673" w:rsidRDefault="00FF55EE" w:rsidP="00FC119A">
      <w:pPr>
        <w:spacing w:line="320" w:lineRule="exact"/>
        <w:jc w:val="both"/>
        <w:rPr>
          <w:rFonts w:ascii="Arial" w:hAnsi="Arial" w:cs="Arial"/>
          <w:b/>
        </w:rPr>
      </w:pPr>
      <w:r w:rsidRPr="00772673">
        <w:rPr>
          <w:rFonts w:ascii="Arial" w:hAnsi="Arial" w:cs="Arial"/>
          <w:b/>
        </w:rPr>
        <w:t>REPLY:</w:t>
      </w:r>
      <w:r w:rsidR="00B1307D" w:rsidRPr="00772673">
        <w:rPr>
          <w:rFonts w:ascii="Arial" w:hAnsi="Arial" w:cs="Arial"/>
          <w:b/>
        </w:rPr>
        <w:t xml:space="preserve"> </w:t>
      </w:r>
    </w:p>
    <w:p w:rsidR="00FC119A" w:rsidRPr="00772673" w:rsidRDefault="00FC119A" w:rsidP="00FC119A">
      <w:pPr>
        <w:spacing w:line="360" w:lineRule="auto"/>
        <w:jc w:val="both"/>
        <w:rPr>
          <w:rFonts w:ascii="Arial" w:hAnsi="Arial" w:cs="Arial"/>
          <w:b/>
        </w:rPr>
      </w:pPr>
    </w:p>
    <w:p w:rsidR="00BE5345" w:rsidRPr="00772673" w:rsidRDefault="00772673" w:rsidP="00772673">
      <w:pPr>
        <w:spacing w:line="360" w:lineRule="auto"/>
        <w:jc w:val="both"/>
        <w:rPr>
          <w:rFonts w:ascii="Arial" w:hAnsi="Arial" w:cs="Arial"/>
        </w:rPr>
      </w:pPr>
      <w:r w:rsidRPr="00A61F6F">
        <w:rPr>
          <w:rFonts w:ascii="Arial" w:hAnsi="Arial" w:cs="Arial"/>
          <w:b/>
        </w:rPr>
        <w:t>(1)</w:t>
      </w:r>
      <w:r w:rsidRPr="00772673">
        <w:rPr>
          <w:rFonts w:ascii="Arial" w:hAnsi="Arial" w:cs="Arial"/>
        </w:rPr>
        <w:t xml:space="preserve"> </w:t>
      </w:r>
      <w:r w:rsidR="00B1307D" w:rsidRPr="00772673">
        <w:rPr>
          <w:rFonts w:ascii="Arial" w:hAnsi="Arial" w:cs="Arial"/>
        </w:rPr>
        <w:t xml:space="preserve">The Electoral Commission did not keep a record of the number of valid </w:t>
      </w:r>
    </w:p>
    <w:p w:rsidR="00FC119A" w:rsidRPr="00772673" w:rsidRDefault="00B1307D" w:rsidP="00772673">
      <w:pPr>
        <w:spacing w:line="360" w:lineRule="auto"/>
        <w:jc w:val="both"/>
        <w:rPr>
          <w:rFonts w:ascii="Arial" w:hAnsi="Arial" w:cs="Arial"/>
        </w:rPr>
      </w:pPr>
      <w:r w:rsidRPr="00772673">
        <w:rPr>
          <w:rFonts w:ascii="Arial" w:hAnsi="Arial" w:cs="Arial"/>
        </w:rPr>
        <w:t xml:space="preserve">physical addresses on the final voters’ roll for the local government elections in 2001, 2006 and 2011. </w:t>
      </w:r>
    </w:p>
    <w:p w:rsidR="00772673" w:rsidRPr="00772673" w:rsidRDefault="00772673" w:rsidP="00772673">
      <w:pPr>
        <w:spacing w:line="360" w:lineRule="auto"/>
        <w:jc w:val="both"/>
        <w:rPr>
          <w:rFonts w:ascii="Arial" w:hAnsi="Arial" w:cs="Arial"/>
        </w:rPr>
      </w:pPr>
    </w:p>
    <w:p w:rsidR="00B1307D" w:rsidRPr="00772673" w:rsidRDefault="00772673" w:rsidP="00772673">
      <w:pPr>
        <w:spacing w:line="360" w:lineRule="auto"/>
        <w:jc w:val="both"/>
        <w:rPr>
          <w:rFonts w:ascii="Arial" w:hAnsi="Arial" w:cs="Arial"/>
        </w:rPr>
      </w:pPr>
      <w:r w:rsidRPr="00A61F6F">
        <w:rPr>
          <w:rFonts w:ascii="Arial" w:hAnsi="Arial" w:cs="Arial"/>
          <w:b/>
        </w:rPr>
        <w:t>(2)</w:t>
      </w:r>
      <w:r w:rsidRPr="00772673">
        <w:rPr>
          <w:rFonts w:ascii="Arial" w:hAnsi="Arial" w:cs="Arial"/>
        </w:rPr>
        <w:t xml:space="preserve"> </w:t>
      </w:r>
      <w:r w:rsidR="00B1307D" w:rsidRPr="00772673">
        <w:rPr>
          <w:rFonts w:ascii="Arial" w:hAnsi="Arial" w:cs="Arial"/>
        </w:rPr>
        <w:t xml:space="preserve">The Electoral Commission did not keep a record of the number of valid physical addresses on the final voters’ roll for the provincial and national elections in 2004, 2009 and 2014 elections. </w:t>
      </w:r>
      <w:r w:rsidR="00BE5345" w:rsidRPr="00772673">
        <w:rPr>
          <w:rFonts w:ascii="Arial" w:hAnsi="Arial" w:cs="Arial"/>
        </w:rPr>
        <w:t xml:space="preserve">Following the Constitutional Court judgment in Kham on 30 November 2015, the Electoral Commission for the first time ahead of both registration weekend held in March and April 2016, produced a voters’ roll with addresses and requested registered voters to </w:t>
      </w:r>
      <w:r w:rsidR="00BE5345" w:rsidRPr="00772673">
        <w:rPr>
          <w:rFonts w:ascii="Arial" w:hAnsi="Arial" w:cs="Arial"/>
        </w:rPr>
        <w:lastRenderedPageBreak/>
        <w:t xml:space="preserve">confirm or correct their </w:t>
      </w:r>
      <w:r w:rsidR="00FC119A" w:rsidRPr="00772673">
        <w:rPr>
          <w:rFonts w:ascii="Arial" w:hAnsi="Arial" w:cs="Arial"/>
        </w:rPr>
        <w:t xml:space="preserve">address details on the voters’ </w:t>
      </w:r>
      <w:r w:rsidR="00BE5345" w:rsidRPr="00772673">
        <w:rPr>
          <w:rFonts w:ascii="Arial" w:hAnsi="Arial" w:cs="Arial"/>
        </w:rPr>
        <w:t xml:space="preserve">roll. </w:t>
      </w:r>
      <w:r w:rsidR="00B1307D" w:rsidRPr="00772673">
        <w:rPr>
          <w:rFonts w:ascii="Arial" w:hAnsi="Arial" w:cs="Arial"/>
        </w:rPr>
        <w:t xml:space="preserve">Following the </w:t>
      </w:r>
      <w:r w:rsidR="0029324C" w:rsidRPr="00772673">
        <w:rPr>
          <w:rFonts w:ascii="Arial" w:hAnsi="Arial" w:cs="Arial"/>
        </w:rPr>
        <w:t>last</w:t>
      </w:r>
      <w:r w:rsidR="00B1307D" w:rsidRPr="00772673">
        <w:rPr>
          <w:rFonts w:ascii="Arial" w:hAnsi="Arial" w:cs="Arial"/>
        </w:rPr>
        <w:t xml:space="preserve"> voter registration weekend</w:t>
      </w:r>
      <w:r w:rsidR="0029324C" w:rsidRPr="00772673">
        <w:rPr>
          <w:rFonts w:ascii="Arial" w:hAnsi="Arial" w:cs="Arial"/>
        </w:rPr>
        <w:t xml:space="preserve"> in April</w:t>
      </w:r>
      <w:r w:rsidR="00B1307D" w:rsidRPr="00772673">
        <w:rPr>
          <w:rFonts w:ascii="Arial" w:hAnsi="Arial" w:cs="Arial"/>
        </w:rPr>
        <w:t xml:space="preserve"> </w:t>
      </w:r>
      <w:r w:rsidR="00BE5345" w:rsidRPr="00772673">
        <w:rPr>
          <w:rFonts w:ascii="Arial" w:hAnsi="Arial" w:cs="Arial"/>
        </w:rPr>
        <w:t xml:space="preserve">2016 </w:t>
      </w:r>
      <w:r w:rsidR="00B1307D" w:rsidRPr="00772673">
        <w:rPr>
          <w:rFonts w:ascii="Arial" w:hAnsi="Arial" w:cs="Arial"/>
        </w:rPr>
        <w:t>the status of addresses on the voters</w:t>
      </w:r>
      <w:r w:rsidR="00BE5345" w:rsidRPr="00772673">
        <w:rPr>
          <w:rFonts w:ascii="Arial" w:hAnsi="Arial" w:cs="Arial"/>
        </w:rPr>
        <w:t>’ roll</w:t>
      </w:r>
      <w:r w:rsidR="00B1307D" w:rsidRPr="00772673">
        <w:rPr>
          <w:rFonts w:ascii="Arial" w:hAnsi="Arial" w:cs="Arial"/>
        </w:rPr>
        <w:t xml:space="preserve"> is as follows</w:t>
      </w:r>
      <w:r w:rsidRPr="00772673">
        <w:rPr>
          <w:rFonts w:ascii="Arial" w:hAnsi="Arial" w:cs="Arial"/>
        </w:rPr>
        <w:t xml:space="preserve"> on the table below</w:t>
      </w:r>
      <w:r w:rsidR="00B1307D" w:rsidRPr="00772673">
        <w:rPr>
          <w:rFonts w:ascii="Arial" w:hAnsi="Arial" w:cs="Arial"/>
        </w:rPr>
        <w:t>:</w:t>
      </w:r>
    </w:p>
    <w:p w:rsidR="0029324C" w:rsidRPr="00772673" w:rsidRDefault="0029324C" w:rsidP="00772673">
      <w:pPr>
        <w:spacing w:line="360" w:lineRule="auto"/>
        <w:jc w:val="both"/>
        <w:rPr>
          <w:rFonts w:ascii="Arial" w:hAnsi="Arial" w:cs="Arial"/>
        </w:rPr>
      </w:pPr>
    </w:p>
    <w:tbl>
      <w:tblPr>
        <w:tblW w:w="8370" w:type="dxa"/>
        <w:tblInd w:w="108" w:type="dxa"/>
        <w:tblLook w:val="04A0"/>
      </w:tblPr>
      <w:tblGrid>
        <w:gridCol w:w="3698"/>
        <w:gridCol w:w="4672"/>
      </w:tblGrid>
      <w:tr w:rsidR="0029324C" w:rsidRPr="00772673" w:rsidTr="007572F3">
        <w:trPr>
          <w:trHeight w:val="339"/>
        </w:trPr>
        <w:tc>
          <w:tcPr>
            <w:tcW w:w="369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29324C" w:rsidRPr="00772673" w:rsidRDefault="0029324C" w:rsidP="00772673">
            <w:pPr>
              <w:jc w:val="both"/>
              <w:rPr>
                <w:rFonts w:ascii="Arial" w:hAnsi="Arial" w:cs="Arial"/>
                <w:b/>
                <w:bCs/>
                <w:color w:val="000000"/>
              </w:rPr>
            </w:pPr>
            <w:r w:rsidRPr="00772673">
              <w:rPr>
                <w:rFonts w:ascii="Arial" w:hAnsi="Arial" w:cs="Arial"/>
                <w:b/>
                <w:bCs/>
                <w:color w:val="000000"/>
              </w:rPr>
              <w:t xml:space="preserve">Category </w:t>
            </w:r>
          </w:p>
        </w:tc>
        <w:tc>
          <w:tcPr>
            <w:tcW w:w="4672" w:type="dxa"/>
            <w:tcBorders>
              <w:top w:val="single" w:sz="8" w:space="0" w:color="auto"/>
              <w:left w:val="nil"/>
              <w:bottom w:val="single" w:sz="4" w:space="0" w:color="auto"/>
              <w:right w:val="single" w:sz="8" w:space="0" w:color="auto"/>
            </w:tcBorders>
            <w:shd w:val="clear" w:color="000000" w:fill="BFBFBF"/>
            <w:noWrap/>
            <w:vAlign w:val="bottom"/>
            <w:hideMark/>
          </w:tcPr>
          <w:p w:rsidR="0029324C" w:rsidRPr="00772673" w:rsidRDefault="0029324C" w:rsidP="00772673">
            <w:pPr>
              <w:jc w:val="both"/>
              <w:rPr>
                <w:rFonts w:ascii="Arial" w:hAnsi="Arial" w:cs="Arial"/>
                <w:b/>
                <w:bCs/>
                <w:color w:val="000000"/>
              </w:rPr>
            </w:pPr>
            <w:r w:rsidRPr="00772673">
              <w:rPr>
                <w:rFonts w:ascii="Arial" w:hAnsi="Arial" w:cs="Arial"/>
                <w:b/>
                <w:bCs/>
                <w:color w:val="000000"/>
              </w:rPr>
              <w:t>Number of Voters Affected</w:t>
            </w:r>
          </w:p>
        </w:tc>
      </w:tr>
      <w:tr w:rsidR="0029324C" w:rsidRPr="00772673" w:rsidTr="00772673">
        <w:trPr>
          <w:trHeight w:val="240"/>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 xml:space="preserve">Voters with Addresses and REC AS  </w:t>
            </w:r>
          </w:p>
        </w:tc>
        <w:tc>
          <w:tcPr>
            <w:tcW w:w="4672" w:type="dxa"/>
            <w:tcBorders>
              <w:top w:val="nil"/>
              <w:left w:val="nil"/>
              <w:bottom w:val="single" w:sz="4" w:space="0" w:color="auto"/>
              <w:right w:val="single" w:sz="8"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14,174,525</w:t>
            </w:r>
          </w:p>
        </w:tc>
      </w:tr>
      <w:tr w:rsidR="0029324C" w:rsidRPr="00772673" w:rsidTr="00772673">
        <w:trPr>
          <w:trHeight w:val="240"/>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Potentially Incomplete Addresses</w:t>
            </w:r>
          </w:p>
        </w:tc>
        <w:tc>
          <w:tcPr>
            <w:tcW w:w="4672" w:type="dxa"/>
            <w:tcBorders>
              <w:top w:val="nil"/>
              <w:left w:val="nil"/>
              <w:bottom w:val="single" w:sz="4" w:space="0" w:color="auto"/>
              <w:right w:val="single" w:sz="8"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6,635,458</w:t>
            </w:r>
          </w:p>
        </w:tc>
      </w:tr>
      <w:tr w:rsidR="0029324C" w:rsidRPr="00772673" w:rsidTr="00772673">
        <w:trPr>
          <w:trHeight w:val="240"/>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No Addresses</w:t>
            </w:r>
          </w:p>
        </w:tc>
        <w:tc>
          <w:tcPr>
            <w:tcW w:w="4672" w:type="dxa"/>
            <w:tcBorders>
              <w:top w:val="nil"/>
              <w:left w:val="nil"/>
              <w:bottom w:val="single" w:sz="4" w:space="0" w:color="auto"/>
              <w:right w:val="single" w:sz="8" w:space="0" w:color="auto"/>
            </w:tcBorders>
            <w:shd w:val="clear" w:color="auto" w:fill="auto"/>
            <w:noWrap/>
            <w:vAlign w:val="bottom"/>
            <w:hideMark/>
          </w:tcPr>
          <w:p w:rsidR="0029324C" w:rsidRPr="00772673" w:rsidRDefault="0029324C" w:rsidP="00772673">
            <w:pPr>
              <w:jc w:val="both"/>
              <w:rPr>
                <w:rFonts w:ascii="Arial" w:hAnsi="Arial" w:cs="Arial"/>
                <w:color w:val="000000"/>
              </w:rPr>
            </w:pPr>
            <w:r w:rsidRPr="00772673">
              <w:rPr>
                <w:rFonts w:ascii="Arial" w:hAnsi="Arial" w:cs="Arial"/>
                <w:color w:val="000000"/>
              </w:rPr>
              <w:t xml:space="preserve">5,491,430 </w:t>
            </w:r>
          </w:p>
        </w:tc>
      </w:tr>
      <w:tr w:rsidR="0029324C" w:rsidRPr="00772673" w:rsidTr="00772673">
        <w:trPr>
          <w:trHeight w:val="252"/>
        </w:trPr>
        <w:tc>
          <w:tcPr>
            <w:tcW w:w="3698" w:type="dxa"/>
            <w:tcBorders>
              <w:top w:val="nil"/>
              <w:left w:val="single" w:sz="8" w:space="0" w:color="auto"/>
              <w:bottom w:val="single" w:sz="8" w:space="0" w:color="auto"/>
              <w:right w:val="single" w:sz="4" w:space="0" w:color="auto"/>
            </w:tcBorders>
            <w:shd w:val="clear" w:color="000000" w:fill="DCE6F1"/>
            <w:noWrap/>
            <w:vAlign w:val="bottom"/>
            <w:hideMark/>
          </w:tcPr>
          <w:p w:rsidR="0029324C" w:rsidRPr="00772673" w:rsidRDefault="0029324C" w:rsidP="00772673">
            <w:pPr>
              <w:jc w:val="both"/>
              <w:rPr>
                <w:rFonts w:ascii="Arial" w:hAnsi="Arial" w:cs="Arial"/>
                <w:b/>
                <w:bCs/>
                <w:color w:val="000000"/>
              </w:rPr>
            </w:pPr>
            <w:r w:rsidRPr="00772673">
              <w:rPr>
                <w:rFonts w:ascii="Arial" w:hAnsi="Arial" w:cs="Arial"/>
                <w:b/>
                <w:bCs/>
                <w:color w:val="000000"/>
              </w:rPr>
              <w:t>Grand Total</w:t>
            </w:r>
          </w:p>
        </w:tc>
        <w:tc>
          <w:tcPr>
            <w:tcW w:w="4672" w:type="dxa"/>
            <w:tcBorders>
              <w:top w:val="nil"/>
              <w:left w:val="nil"/>
              <w:bottom w:val="single" w:sz="8" w:space="0" w:color="auto"/>
              <w:right w:val="single" w:sz="8" w:space="0" w:color="auto"/>
            </w:tcBorders>
            <w:shd w:val="clear" w:color="000000" w:fill="DCE6F1"/>
            <w:noWrap/>
            <w:vAlign w:val="bottom"/>
            <w:hideMark/>
          </w:tcPr>
          <w:p w:rsidR="0029324C" w:rsidRPr="00772673" w:rsidRDefault="0029324C" w:rsidP="00772673">
            <w:pPr>
              <w:jc w:val="both"/>
              <w:rPr>
                <w:rFonts w:ascii="Arial" w:hAnsi="Arial" w:cs="Arial"/>
                <w:b/>
                <w:bCs/>
                <w:color w:val="000000"/>
              </w:rPr>
            </w:pPr>
            <w:r w:rsidRPr="00772673">
              <w:rPr>
                <w:rFonts w:ascii="Arial" w:hAnsi="Arial" w:cs="Arial"/>
                <w:b/>
                <w:bCs/>
                <w:color w:val="000000"/>
              </w:rPr>
              <w:t>26,301,413</w:t>
            </w:r>
          </w:p>
        </w:tc>
      </w:tr>
    </w:tbl>
    <w:p w:rsidR="00904A1C" w:rsidRPr="00772673" w:rsidRDefault="00904A1C" w:rsidP="00772673">
      <w:pPr>
        <w:pStyle w:val="2"/>
        <w:numPr>
          <w:ilvl w:val="0"/>
          <w:numId w:val="0"/>
        </w:numPr>
        <w:rPr>
          <w:rFonts w:cs="Arial"/>
          <w:szCs w:val="24"/>
        </w:rPr>
      </w:pPr>
    </w:p>
    <w:p w:rsidR="004479BF" w:rsidRDefault="0029324C" w:rsidP="004479BF">
      <w:pPr>
        <w:pStyle w:val="2"/>
        <w:numPr>
          <w:ilvl w:val="0"/>
          <w:numId w:val="0"/>
        </w:numPr>
        <w:rPr>
          <w:rFonts w:cs="Arial"/>
          <w:b/>
          <w:szCs w:val="24"/>
        </w:rPr>
      </w:pPr>
      <w:r w:rsidRPr="00772673">
        <w:rPr>
          <w:rFonts w:cs="Arial"/>
          <w:b/>
          <w:szCs w:val="24"/>
        </w:rPr>
        <w:t>The different categories used in the table are as follows:</w:t>
      </w:r>
    </w:p>
    <w:p w:rsidR="00904A1C" w:rsidRPr="00772673" w:rsidRDefault="004479BF" w:rsidP="004479BF">
      <w:pPr>
        <w:pStyle w:val="2"/>
        <w:numPr>
          <w:ilvl w:val="0"/>
          <w:numId w:val="0"/>
        </w:numPr>
        <w:rPr>
          <w:rFonts w:cs="Arial"/>
          <w:szCs w:val="24"/>
        </w:rPr>
      </w:pPr>
      <w:r>
        <w:rPr>
          <w:rFonts w:cs="Arial"/>
          <w:b/>
          <w:szCs w:val="24"/>
        </w:rPr>
        <w:t>(a-b)</w:t>
      </w:r>
      <w:r w:rsidRPr="00772673">
        <w:rPr>
          <w:rFonts w:cs="Arial"/>
          <w:szCs w:val="24"/>
        </w:rPr>
        <w:t xml:space="preserve"> </w:t>
      </w:r>
      <w:r w:rsidR="00904A1C" w:rsidRPr="004479BF">
        <w:rPr>
          <w:rFonts w:cs="Arial"/>
          <w:b/>
          <w:szCs w:val="24"/>
        </w:rPr>
        <w:t>The “</w:t>
      </w:r>
      <w:r w:rsidR="00904A1C" w:rsidRPr="004479BF">
        <w:rPr>
          <w:rFonts w:cs="Arial"/>
          <w:b/>
          <w:szCs w:val="24"/>
          <w:u w:val="single"/>
        </w:rPr>
        <w:t>complete addresses</w:t>
      </w:r>
      <w:r w:rsidR="00904A1C" w:rsidRPr="004479BF">
        <w:rPr>
          <w:rFonts w:cs="Arial"/>
          <w:b/>
          <w:szCs w:val="24"/>
        </w:rPr>
        <w:t>”</w:t>
      </w:r>
      <w:r w:rsidR="00904A1C" w:rsidRPr="00772673">
        <w:rPr>
          <w:rFonts w:cs="Arial"/>
          <w:szCs w:val="24"/>
        </w:rPr>
        <w:t xml:space="preserve"> category includes only those voters who have a complete conventional urban address with at least the following four line-items: street number, street name, suburb and town.  The reason this category is defined in such narrow terms is because only addresses that meet all four of these requirements is definitely a complete address.  It is accordingly the only assumption that can be fed into the database to obtain a definite figure of complete addresses. However, in response to the Kham Judgment, this cate</w:t>
      </w:r>
      <w:r w:rsidR="00FC119A" w:rsidRPr="00772673">
        <w:rPr>
          <w:rFonts w:cs="Arial"/>
          <w:szCs w:val="24"/>
        </w:rPr>
        <w:t>gory also included recent trans</w:t>
      </w:r>
      <w:r w:rsidR="00904A1C" w:rsidRPr="00772673">
        <w:rPr>
          <w:rFonts w:cs="Arial"/>
          <w:szCs w:val="24"/>
        </w:rPr>
        <w:t>a</w:t>
      </w:r>
      <w:r w:rsidR="00FC119A" w:rsidRPr="00772673">
        <w:rPr>
          <w:rFonts w:cs="Arial"/>
          <w:szCs w:val="24"/>
        </w:rPr>
        <w:t>c</w:t>
      </w:r>
      <w:r w:rsidR="00904A1C" w:rsidRPr="00772673">
        <w:rPr>
          <w:rFonts w:cs="Arial"/>
          <w:szCs w:val="24"/>
        </w:rPr>
        <w:t xml:space="preserve">tion during the Reg 1 and Reg 2 weekends and the category was expanded to include those who had submitted sufficient particulars in terms of the REC AS forms.    </w:t>
      </w:r>
    </w:p>
    <w:p w:rsidR="00FC119A" w:rsidRPr="00772673" w:rsidRDefault="00904A1C" w:rsidP="004479BF">
      <w:pPr>
        <w:pStyle w:val="2"/>
        <w:numPr>
          <w:ilvl w:val="0"/>
          <w:numId w:val="0"/>
        </w:numPr>
        <w:spacing w:after="480" w:line="360" w:lineRule="auto"/>
        <w:rPr>
          <w:rFonts w:cs="Arial"/>
          <w:szCs w:val="24"/>
        </w:rPr>
      </w:pPr>
      <w:r w:rsidRPr="004479BF">
        <w:rPr>
          <w:rFonts w:cs="Arial"/>
          <w:b/>
          <w:szCs w:val="24"/>
        </w:rPr>
        <w:t>The “</w:t>
      </w:r>
      <w:r w:rsidRPr="004479BF">
        <w:rPr>
          <w:rFonts w:cs="Arial"/>
          <w:b/>
          <w:szCs w:val="24"/>
          <w:u w:val="single"/>
        </w:rPr>
        <w:t>no addresses</w:t>
      </w:r>
      <w:r w:rsidRPr="004479BF">
        <w:rPr>
          <w:rFonts w:cs="Arial"/>
          <w:b/>
          <w:szCs w:val="24"/>
        </w:rPr>
        <w:t xml:space="preserve">” </w:t>
      </w:r>
      <w:r w:rsidRPr="00772673">
        <w:rPr>
          <w:rFonts w:cs="Arial"/>
          <w:szCs w:val="24"/>
        </w:rPr>
        <w:t>category includes voters in respect of whom no physical residential address is captured.  This includes: (i) voters whose Rec 1 forms have been lost; (ii) voters who have left the address section in the Rec 1 form blank or have indicated that they have no formal residential address  (e.g. by writing the words “N/A” or “none” in the address section); and (iii) voters who have provided only a postal address.</w:t>
      </w:r>
    </w:p>
    <w:p w:rsidR="00904A1C" w:rsidRPr="00772673" w:rsidRDefault="00FC119A" w:rsidP="00772673">
      <w:pPr>
        <w:pStyle w:val="2"/>
        <w:numPr>
          <w:ilvl w:val="0"/>
          <w:numId w:val="0"/>
        </w:numPr>
        <w:spacing w:after="480" w:line="360" w:lineRule="auto"/>
        <w:rPr>
          <w:rFonts w:cs="Arial"/>
          <w:szCs w:val="24"/>
        </w:rPr>
      </w:pPr>
      <w:r w:rsidRPr="00772673">
        <w:rPr>
          <w:rFonts w:cs="Arial"/>
          <w:szCs w:val="24"/>
        </w:rPr>
        <w:br w:type="page"/>
      </w:r>
    </w:p>
    <w:p w:rsidR="00FC119A" w:rsidRDefault="00904A1C" w:rsidP="004479BF">
      <w:pPr>
        <w:pStyle w:val="2"/>
        <w:numPr>
          <w:ilvl w:val="0"/>
          <w:numId w:val="0"/>
        </w:numPr>
        <w:spacing w:line="360" w:lineRule="auto"/>
        <w:rPr>
          <w:rFonts w:cs="Arial"/>
          <w:szCs w:val="24"/>
        </w:rPr>
      </w:pPr>
      <w:r w:rsidRPr="004479BF">
        <w:rPr>
          <w:rFonts w:cs="Arial"/>
          <w:b/>
          <w:szCs w:val="24"/>
        </w:rPr>
        <w:t>The “</w:t>
      </w:r>
      <w:r w:rsidRPr="004479BF">
        <w:rPr>
          <w:rFonts w:cs="Arial"/>
          <w:b/>
          <w:szCs w:val="24"/>
          <w:u w:val="single"/>
        </w:rPr>
        <w:t>potentially incomplete addresses</w:t>
      </w:r>
      <w:r w:rsidRPr="004479BF">
        <w:rPr>
          <w:rFonts w:cs="Arial"/>
          <w:b/>
          <w:szCs w:val="24"/>
        </w:rPr>
        <w:t>”</w:t>
      </w:r>
      <w:r w:rsidRPr="00772673">
        <w:rPr>
          <w:rFonts w:cs="Arial"/>
          <w:szCs w:val="24"/>
        </w:rPr>
        <w:t xml:space="preserve"> category is all the remaining addresses.  Many, and possibly the vast majority, of these addresses are complete for the purposes of s 16(3).  But it is impossible to determine whether they are complete by making general assumptions (for input into the database) without examining these addresses individually.  </w:t>
      </w:r>
    </w:p>
    <w:p w:rsidR="004479BF" w:rsidRPr="00772673" w:rsidRDefault="004479BF" w:rsidP="004479BF">
      <w:pPr>
        <w:pStyle w:val="2"/>
        <w:numPr>
          <w:ilvl w:val="0"/>
          <w:numId w:val="0"/>
        </w:numPr>
        <w:spacing w:line="360" w:lineRule="auto"/>
        <w:rPr>
          <w:rFonts w:cs="Arial"/>
          <w:szCs w:val="24"/>
        </w:rPr>
      </w:pPr>
    </w:p>
    <w:p w:rsidR="0029324C" w:rsidRPr="00772673" w:rsidRDefault="004479BF" w:rsidP="004479BF">
      <w:pPr>
        <w:pStyle w:val="2"/>
        <w:numPr>
          <w:ilvl w:val="0"/>
          <w:numId w:val="0"/>
        </w:numPr>
        <w:spacing w:line="360" w:lineRule="auto"/>
        <w:rPr>
          <w:rFonts w:cs="Arial"/>
          <w:szCs w:val="24"/>
        </w:rPr>
      </w:pPr>
      <w:r w:rsidRPr="004479BF">
        <w:rPr>
          <w:rFonts w:cs="Arial"/>
          <w:b/>
          <w:szCs w:val="24"/>
        </w:rPr>
        <w:t>(3)</w:t>
      </w:r>
      <w:r>
        <w:rPr>
          <w:rFonts w:cs="Arial"/>
          <w:szCs w:val="24"/>
        </w:rPr>
        <w:t xml:space="preserve"> </w:t>
      </w:r>
      <w:r w:rsidR="0029324C" w:rsidRPr="00772673">
        <w:rPr>
          <w:rFonts w:cs="Arial"/>
          <w:szCs w:val="24"/>
        </w:rPr>
        <w:t xml:space="preserve">As the records of the number of valid addresses were not kept it is impossible to make a determination of a reduction or increase. However since the decision of the Constitutional Court in </w:t>
      </w:r>
      <w:r w:rsidR="0029324C" w:rsidRPr="00772673">
        <w:rPr>
          <w:rFonts w:cs="Arial"/>
          <w:i/>
          <w:szCs w:val="24"/>
        </w:rPr>
        <w:t xml:space="preserve">Kham </w:t>
      </w:r>
      <w:r w:rsidR="0029324C" w:rsidRPr="00772673">
        <w:rPr>
          <w:rFonts w:cs="Arial"/>
          <w:szCs w:val="24"/>
        </w:rPr>
        <w:t>over 4 million addresses and sufficient particularities have been obtain from voters.</w:t>
      </w:r>
    </w:p>
    <w:p w:rsidR="002D1A78" w:rsidRPr="00772673" w:rsidRDefault="004479BF" w:rsidP="004479BF">
      <w:pPr>
        <w:pStyle w:val="2"/>
        <w:numPr>
          <w:ilvl w:val="0"/>
          <w:numId w:val="0"/>
        </w:numPr>
        <w:spacing w:line="360" w:lineRule="auto"/>
        <w:rPr>
          <w:rFonts w:cs="Arial"/>
          <w:szCs w:val="24"/>
        </w:rPr>
      </w:pPr>
      <w:r w:rsidRPr="004479BF">
        <w:rPr>
          <w:rFonts w:cs="Arial"/>
          <w:b/>
          <w:szCs w:val="24"/>
        </w:rPr>
        <w:t>(4)</w:t>
      </w:r>
      <w:r>
        <w:rPr>
          <w:rFonts w:cs="Arial"/>
          <w:szCs w:val="24"/>
        </w:rPr>
        <w:t xml:space="preserve"> </w:t>
      </w:r>
      <w:r w:rsidR="002D1A78" w:rsidRPr="00772673">
        <w:rPr>
          <w:rFonts w:cs="Arial"/>
          <w:szCs w:val="24"/>
        </w:rPr>
        <w:t>Some REC 1 forms have been lost over the years as a result of mishaps and unexpected events – with REC 1 forms being lost in transit (as they move from voting/counting stations to local IEC offices to provincial warehouses) or damaged in storage.  The IEC has not kept a catalogue of these incidents. Some of the incidents include the following:</w:t>
      </w:r>
    </w:p>
    <w:p w:rsidR="002D1A78" w:rsidRPr="00772673" w:rsidRDefault="00A61F6F" w:rsidP="00A61F6F">
      <w:pPr>
        <w:pStyle w:val="2"/>
        <w:numPr>
          <w:ilvl w:val="0"/>
          <w:numId w:val="0"/>
        </w:numPr>
        <w:spacing w:line="360" w:lineRule="auto"/>
        <w:rPr>
          <w:rFonts w:cs="Arial"/>
          <w:szCs w:val="24"/>
        </w:rPr>
      </w:pPr>
      <w:r w:rsidRPr="00A61F6F">
        <w:rPr>
          <w:rFonts w:cs="Arial"/>
          <w:b/>
          <w:szCs w:val="24"/>
        </w:rPr>
        <w:t>(a)</w:t>
      </w:r>
      <w:r>
        <w:rPr>
          <w:rFonts w:cs="Arial"/>
          <w:szCs w:val="24"/>
        </w:rPr>
        <w:t xml:space="preserve"> </w:t>
      </w:r>
      <w:r w:rsidR="002D1A78" w:rsidRPr="00772673">
        <w:rPr>
          <w:rFonts w:cs="Arial"/>
          <w:szCs w:val="24"/>
        </w:rPr>
        <w:t>During 2001, flooding at a warehouse used by the IEC for storage of some of its records in eThekwini metropolitan municipality, KwaZulu-Natal destroyed a number of REC 1 forms dated 1998 and 1999.</w:t>
      </w:r>
    </w:p>
    <w:p w:rsidR="002D1A78" w:rsidRPr="00772673" w:rsidRDefault="00A61F6F" w:rsidP="00A61F6F">
      <w:pPr>
        <w:pStyle w:val="2"/>
        <w:numPr>
          <w:ilvl w:val="0"/>
          <w:numId w:val="0"/>
        </w:numPr>
        <w:spacing w:line="360" w:lineRule="auto"/>
        <w:rPr>
          <w:rFonts w:cs="Arial"/>
          <w:szCs w:val="24"/>
        </w:rPr>
      </w:pPr>
      <w:r w:rsidRPr="00A61F6F">
        <w:rPr>
          <w:rFonts w:cs="Arial"/>
          <w:b/>
          <w:szCs w:val="24"/>
        </w:rPr>
        <w:t>(b)(i-ii)</w:t>
      </w:r>
      <w:r>
        <w:rPr>
          <w:rFonts w:cs="Arial"/>
          <w:szCs w:val="24"/>
        </w:rPr>
        <w:t xml:space="preserve"> </w:t>
      </w:r>
      <w:r w:rsidR="002D1A78" w:rsidRPr="00772673">
        <w:rPr>
          <w:rFonts w:cs="Arial"/>
          <w:szCs w:val="24"/>
        </w:rPr>
        <w:t xml:space="preserve">In Msinga local municipality in KwaZulu-Natal, the REC1 forms for the period 1998 to 2008 were erroneously discarded by a removal company when the IEC vacated a rented storage facility. This was discovered during the 2010/2011 bulk scanning project.  </w:t>
      </w:r>
    </w:p>
    <w:p w:rsidR="002D1A78" w:rsidRPr="00772673" w:rsidRDefault="00A61F6F" w:rsidP="00A61F6F">
      <w:pPr>
        <w:pStyle w:val="2"/>
        <w:numPr>
          <w:ilvl w:val="0"/>
          <w:numId w:val="0"/>
        </w:numPr>
        <w:spacing w:line="360" w:lineRule="auto"/>
        <w:rPr>
          <w:rFonts w:cs="Arial"/>
          <w:szCs w:val="24"/>
        </w:rPr>
      </w:pPr>
      <w:r>
        <w:rPr>
          <w:rFonts w:cs="Arial"/>
          <w:szCs w:val="24"/>
        </w:rPr>
        <w:t>-</w:t>
      </w:r>
      <w:r>
        <w:rPr>
          <w:rFonts w:cs="Arial"/>
          <w:szCs w:val="24"/>
        </w:rPr>
        <w:tab/>
      </w:r>
      <w:r w:rsidR="002D1A78" w:rsidRPr="00772673">
        <w:rPr>
          <w:rFonts w:cs="Arial"/>
          <w:szCs w:val="24"/>
        </w:rPr>
        <w:t>A fire broke out at a Metrofile (Pty) Ltd warehouse in Pinetown, KwaZulu-Natal province on the night of 11 October 2013, where the IEC stored some of its records.  This fire did not, however, result in any loss of voter data as the REC 1 forms destroyed in the fire had already been scanned and captured.</w:t>
      </w:r>
    </w:p>
    <w:p w:rsidR="002D1A78" w:rsidRPr="00772673" w:rsidRDefault="00A61F6F" w:rsidP="00A61F6F">
      <w:pPr>
        <w:pStyle w:val="2"/>
        <w:numPr>
          <w:ilvl w:val="0"/>
          <w:numId w:val="0"/>
        </w:numPr>
        <w:spacing w:line="360" w:lineRule="auto"/>
        <w:rPr>
          <w:rFonts w:cs="Arial"/>
          <w:szCs w:val="24"/>
        </w:rPr>
      </w:pPr>
      <w:r>
        <w:rPr>
          <w:rFonts w:cs="Arial"/>
          <w:szCs w:val="24"/>
        </w:rPr>
        <w:t>-</w:t>
      </w:r>
      <w:r>
        <w:rPr>
          <w:rFonts w:cs="Arial"/>
          <w:szCs w:val="24"/>
        </w:rPr>
        <w:tab/>
      </w:r>
      <w:r w:rsidR="002D1A78" w:rsidRPr="00772673">
        <w:rPr>
          <w:rFonts w:cs="Arial"/>
          <w:szCs w:val="24"/>
        </w:rPr>
        <w:t xml:space="preserve">On 15 November 2013, about 1,500 REC 1 forms were destroyed by fire during the unrest in the Metsimaholo Municipality, Free State. </w:t>
      </w:r>
    </w:p>
    <w:p w:rsidR="00FC119A" w:rsidRDefault="00A61F6F" w:rsidP="00A61F6F">
      <w:pPr>
        <w:pStyle w:val="2"/>
        <w:numPr>
          <w:ilvl w:val="0"/>
          <w:numId w:val="0"/>
        </w:numPr>
        <w:spacing w:line="360" w:lineRule="auto"/>
        <w:rPr>
          <w:rFonts w:cs="Arial"/>
          <w:szCs w:val="24"/>
        </w:rPr>
      </w:pPr>
      <w:r>
        <w:rPr>
          <w:rFonts w:cs="Arial"/>
          <w:szCs w:val="24"/>
        </w:rPr>
        <w:t>-</w:t>
      </w:r>
      <w:r>
        <w:rPr>
          <w:rFonts w:cs="Arial"/>
          <w:szCs w:val="24"/>
        </w:rPr>
        <w:tab/>
      </w:r>
      <w:r w:rsidR="002D1A78" w:rsidRPr="00772673">
        <w:rPr>
          <w:rFonts w:cs="Arial"/>
          <w:szCs w:val="24"/>
        </w:rPr>
        <w:t>The Sol Plaatjie municipal electoral office in the Northern Cape was flooded in February 2014. This resulted in the loss of approximately 15,000 REC 1 forms.</w:t>
      </w:r>
    </w:p>
    <w:p w:rsidR="00A61F6F" w:rsidRPr="00772673" w:rsidRDefault="00A61F6F" w:rsidP="00A61F6F">
      <w:pPr>
        <w:pStyle w:val="2"/>
        <w:numPr>
          <w:ilvl w:val="0"/>
          <w:numId w:val="0"/>
        </w:numPr>
        <w:spacing w:line="360" w:lineRule="auto"/>
        <w:rPr>
          <w:rFonts w:cs="Arial"/>
          <w:szCs w:val="24"/>
        </w:rPr>
      </w:pPr>
    </w:p>
    <w:p w:rsidR="003168FC" w:rsidRPr="00772673" w:rsidRDefault="003168FC" w:rsidP="00772673">
      <w:pPr>
        <w:pStyle w:val="2"/>
        <w:numPr>
          <w:ilvl w:val="0"/>
          <w:numId w:val="0"/>
        </w:numPr>
        <w:spacing w:line="360" w:lineRule="auto"/>
        <w:rPr>
          <w:rFonts w:cs="Arial"/>
          <w:szCs w:val="24"/>
        </w:rPr>
      </w:pPr>
    </w:p>
    <w:p w:rsidR="0029324C" w:rsidRPr="00772673" w:rsidRDefault="00A61F6F" w:rsidP="00A61F6F">
      <w:pPr>
        <w:pStyle w:val="2"/>
        <w:numPr>
          <w:ilvl w:val="0"/>
          <w:numId w:val="0"/>
        </w:numPr>
        <w:spacing w:line="360" w:lineRule="auto"/>
        <w:rPr>
          <w:rFonts w:cs="Arial"/>
          <w:szCs w:val="24"/>
        </w:rPr>
      </w:pPr>
      <w:r>
        <w:rPr>
          <w:rFonts w:cs="Arial"/>
          <w:szCs w:val="24"/>
        </w:rPr>
        <w:lastRenderedPageBreak/>
        <w:t>-</w:t>
      </w:r>
      <w:r>
        <w:rPr>
          <w:rFonts w:cs="Arial"/>
          <w:szCs w:val="24"/>
        </w:rPr>
        <w:tab/>
      </w:r>
      <w:r w:rsidR="0078380B" w:rsidRPr="00772673">
        <w:rPr>
          <w:rFonts w:cs="Arial"/>
          <w:szCs w:val="24"/>
        </w:rPr>
        <w:t xml:space="preserve">  </w:t>
      </w:r>
      <w:r w:rsidR="002D1A78" w:rsidRPr="00772673">
        <w:rPr>
          <w:rFonts w:cs="Arial"/>
          <w:szCs w:val="24"/>
        </w:rPr>
        <w:t>In March 2015, 3,900 REC 1 forms were d</w:t>
      </w:r>
      <w:r w:rsidR="003168FC" w:rsidRPr="00772673">
        <w:rPr>
          <w:rFonts w:cs="Arial"/>
          <w:szCs w:val="24"/>
        </w:rPr>
        <w:t>estroyed by fire during c</w:t>
      </w:r>
      <w:r w:rsidR="002D1A78" w:rsidRPr="00772673">
        <w:rPr>
          <w:rFonts w:cs="Arial"/>
          <w:szCs w:val="24"/>
        </w:rPr>
        <w:t>ommunity protests in the Mantsopa Municipality in the Free State.</w:t>
      </w:r>
    </w:p>
    <w:p w:rsidR="003D4C96" w:rsidRPr="00772673" w:rsidRDefault="003D4C96" w:rsidP="00FC119A">
      <w:pPr>
        <w:tabs>
          <w:tab w:val="left" w:pos="432"/>
          <w:tab w:val="left" w:pos="864"/>
        </w:tabs>
        <w:spacing w:line="320" w:lineRule="exact"/>
        <w:jc w:val="both"/>
        <w:rPr>
          <w:rFonts w:ascii="Arial" w:hAnsi="Arial" w:cs="Arial"/>
        </w:rPr>
      </w:pPr>
    </w:p>
    <w:sectPr w:rsidR="003D4C96" w:rsidRPr="00772673"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56" w:rsidRDefault="004B1D56">
      <w:r>
        <w:separator/>
      </w:r>
    </w:p>
  </w:endnote>
  <w:endnote w:type="continuationSeparator" w:id="0">
    <w:p w:rsidR="004B1D56" w:rsidRDefault="004B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56" w:rsidRDefault="004B1D56">
      <w:r>
        <w:separator/>
      </w:r>
    </w:p>
  </w:footnote>
  <w:footnote w:type="continuationSeparator" w:id="0">
    <w:p w:rsidR="004B1D56" w:rsidRDefault="004B1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48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EB"/>
    <w:multiLevelType w:val="hybridMultilevel"/>
    <w:tmpl w:val="C83AF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40648E6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418"/>
        </w:tabs>
        <w:ind w:left="1418" w:hanging="851"/>
      </w:pPr>
      <w:rPr>
        <w:rFonts w:ascii="Arial" w:hAnsi="Arial" w:cs="Arial" w:hint="default"/>
        <w:b w:val="0"/>
        <w:i w:val="0"/>
        <w:color w:val="auto"/>
      </w:rPr>
    </w:lvl>
    <w:lvl w:ilvl="2">
      <w:start w:val="1"/>
      <w:numFmt w:val="decimal"/>
      <w:pStyle w:val="3"/>
      <w:lvlText w:val="%1.%2.%3"/>
      <w:lvlJc w:val="left"/>
      <w:pPr>
        <w:tabs>
          <w:tab w:val="num" w:pos="2155"/>
        </w:tabs>
        <w:ind w:left="2155" w:hanging="794"/>
      </w:pPr>
      <w:rPr>
        <w:rFonts w:ascii="Arial" w:hAnsi="Arial" w:cs="Arial" w:hint="default"/>
        <w:i w:val="0"/>
        <w:color w:val="auto"/>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2D178E"/>
    <w:multiLevelType w:val="hybridMultilevel"/>
    <w:tmpl w:val="B64287AE"/>
    <w:lvl w:ilvl="0" w:tplc="F2EE4D1E">
      <w:start w:val="1"/>
      <w:numFmt w:val="decimal"/>
      <w:lvlText w:val="%1."/>
      <w:lvlJc w:val="left"/>
      <w:pPr>
        <w:ind w:left="1287" w:hanging="360"/>
      </w:pPr>
      <w:rPr>
        <w:b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7A1156"/>
    <w:multiLevelType w:val="hybridMultilevel"/>
    <w:tmpl w:val="AC70D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F0F7148"/>
    <w:multiLevelType w:val="hybridMultilevel"/>
    <w:tmpl w:val="E5E046A0"/>
    <w:lvl w:ilvl="0" w:tplc="F2EE4D1E">
      <w:start w:val="1"/>
      <w:numFmt w:val="decimal"/>
      <w:lvlText w:val="%1."/>
      <w:lvlJc w:val="left"/>
      <w:pPr>
        <w:ind w:left="2160" w:hanging="360"/>
      </w:pPr>
      <w:rPr>
        <w:b w:val="0"/>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7"/>
  </w:num>
  <w:num w:numId="9">
    <w:abstractNumId w:val="12"/>
  </w:num>
  <w:num w:numId="10">
    <w:abstractNumId w:val="35"/>
  </w:num>
  <w:num w:numId="11">
    <w:abstractNumId w:val="16"/>
  </w:num>
  <w:num w:numId="12">
    <w:abstractNumId w:val="7"/>
  </w:num>
  <w:num w:numId="13">
    <w:abstractNumId w:val="24"/>
  </w:num>
  <w:num w:numId="14">
    <w:abstractNumId w:val="34"/>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1"/>
  </w:num>
  <w:num w:numId="23">
    <w:abstractNumId w:val="9"/>
  </w:num>
  <w:num w:numId="24">
    <w:abstractNumId w:val="32"/>
  </w:num>
  <w:num w:numId="25">
    <w:abstractNumId w:val="5"/>
  </w:num>
  <w:num w:numId="26">
    <w:abstractNumId w:val="18"/>
  </w:num>
  <w:num w:numId="27">
    <w:abstractNumId w:val="23"/>
  </w:num>
  <w:num w:numId="28">
    <w:abstractNumId w:val="14"/>
  </w:num>
  <w:num w:numId="29">
    <w:abstractNumId w:val="28"/>
  </w:num>
  <w:num w:numId="30">
    <w:abstractNumId w:val="19"/>
  </w:num>
  <w:num w:numId="31">
    <w:abstractNumId w:val="8"/>
  </w:num>
  <w:num w:numId="32">
    <w:abstractNumId w:val="13"/>
  </w:num>
  <w:num w:numId="33">
    <w:abstractNumId w:val="22"/>
  </w:num>
  <w:num w:numId="34">
    <w:abstractNumId w:val="36"/>
  </w:num>
  <w:num w:numId="35">
    <w:abstractNumId w:val="2"/>
  </w:num>
  <w:num w:numId="36">
    <w:abstractNumId w:val="33"/>
  </w:num>
  <w:num w:numId="37">
    <w:abstractNumId w:val="11"/>
  </w:num>
  <w:num w:numId="38">
    <w:abstractNumId w:val="15"/>
  </w:num>
  <w:num w:numId="39">
    <w:abstractNumId w:val="3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3BC4"/>
    <w:rsid w:val="00073CB6"/>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552"/>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24C"/>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019"/>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1A78"/>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8FC"/>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A80"/>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479BF"/>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D56"/>
    <w:rsid w:val="004B1E9D"/>
    <w:rsid w:val="004B2155"/>
    <w:rsid w:val="004B246B"/>
    <w:rsid w:val="004B2BEF"/>
    <w:rsid w:val="004B2C6A"/>
    <w:rsid w:val="004B2DB3"/>
    <w:rsid w:val="004B3153"/>
    <w:rsid w:val="004B36FC"/>
    <w:rsid w:val="004B49F9"/>
    <w:rsid w:val="004B4C28"/>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0EC2"/>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2F3"/>
    <w:rsid w:val="0075774A"/>
    <w:rsid w:val="00761A84"/>
    <w:rsid w:val="00762647"/>
    <w:rsid w:val="007636F3"/>
    <w:rsid w:val="007639A4"/>
    <w:rsid w:val="007646EF"/>
    <w:rsid w:val="007661E1"/>
    <w:rsid w:val="0076681A"/>
    <w:rsid w:val="00767081"/>
    <w:rsid w:val="00770925"/>
    <w:rsid w:val="00770E83"/>
    <w:rsid w:val="00771794"/>
    <w:rsid w:val="00772487"/>
    <w:rsid w:val="00772673"/>
    <w:rsid w:val="007733E6"/>
    <w:rsid w:val="00773B5F"/>
    <w:rsid w:val="00774099"/>
    <w:rsid w:val="0077499D"/>
    <w:rsid w:val="007763D1"/>
    <w:rsid w:val="00777200"/>
    <w:rsid w:val="00777CA1"/>
    <w:rsid w:val="00781181"/>
    <w:rsid w:val="00781AF4"/>
    <w:rsid w:val="00781BB3"/>
    <w:rsid w:val="00781D74"/>
    <w:rsid w:val="0078212E"/>
    <w:rsid w:val="0078245E"/>
    <w:rsid w:val="0078380B"/>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6A2"/>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4C96"/>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4A1C"/>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487"/>
    <w:rsid w:val="00A00795"/>
    <w:rsid w:val="00A01AE7"/>
    <w:rsid w:val="00A01C07"/>
    <w:rsid w:val="00A01D89"/>
    <w:rsid w:val="00A02D53"/>
    <w:rsid w:val="00A031CD"/>
    <w:rsid w:val="00A038C9"/>
    <w:rsid w:val="00A0605D"/>
    <w:rsid w:val="00A06639"/>
    <w:rsid w:val="00A06BE7"/>
    <w:rsid w:val="00A06E21"/>
    <w:rsid w:val="00A075E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F6F"/>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5C"/>
    <w:rsid w:val="00AF23A3"/>
    <w:rsid w:val="00AF24BA"/>
    <w:rsid w:val="00AF25CF"/>
    <w:rsid w:val="00AF2E01"/>
    <w:rsid w:val="00AF3186"/>
    <w:rsid w:val="00AF3255"/>
    <w:rsid w:val="00AF334B"/>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07D"/>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345"/>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6C6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286"/>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2940"/>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904"/>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4B9"/>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19A"/>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B5"/>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customStyle="1" w:styleId="1">
    <w:name w:val="1"/>
    <w:qFormat/>
    <w:rsid w:val="00904A1C"/>
    <w:pPr>
      <w:numPr>
        <w:numId w:val="37"/>
      </w:numPr>
      <w:spacing w:before="480" w:line="480" w:lineRule="auto"/>
      <w:jc w:val="both"/>
    </w:pPr>
    <w:rPr>
      <w:rFonts w:ascii="Arial" w:eastAsia="Calibri" w:hAnsi="Arial"/>
      <w:iCs/>
      <w:color w:val="000000"/>
      <w:sz w:val="24"/>
      <w:szCs w:val="22"/>
      <w:lang w:val="en-GB" w:eastAsia="en-US"/>
    </w:rPr>
  </w:style>
  <w:style w:type="paragraph" w:customStyle="1" w:styleId="2">
    <w:name w:val="2"/>
    <w:basedOn w:val="1"/>
    <w:qFormat/>
    <w:rsid w:val="00904A1C"/>
    <w:pPr>
      <w:widowControl w:val="0"/>
      <w:numPr>
        <w:ilvl w:val="1"/>
      </w:numPr>
      <w:spacing w:before="0"/>
    </w:pPr>
  </w:style>
  <w:style w:type="paragraph" w:customStyle="1" w:styleId="3">
    <w:name w:val="3"/>
    <w:basedOn w:val="1"/>
    <w:qFormat/>
    <w:rsid w:val="00904A1C"/>
    <w:pPr>
      <w:numPr>
        <w:ilvl w:val="2"/>
      </w:numPr>
    </w:pPr>
  </w:style>
</w:styles>
</file>

<file path=word/webSettings.xml><?xml version="1.0" encoding="utf-8"?>
<w:webSettings xmlns:r="http://schemas.openxmlformats.org/officeDocument/2006/relationships" xmlns:w="http://schemas.openxmlformats.org/wordprocessingml/2006/main">
  <w:divs>
    <w:div w:id="273951718">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2EBA-C722-45A1-AF5D-D51E1FDA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2016-05-30T07:09:00Z</cp:lastPrinted>
  <dcterms:created xsi:type="dcterms:W3CDTF">2016-06-10T09:56:00Z</dcterms:created>
  <dcterms:modified xsi:type="dcterms:W3CDTF">2016-06-10T09:56:00Z</dcterms:modified>
</cp:coreProperties>
</file>