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01" w:rsidRPr="005365C9" w:rsidRDefault="00B425C7" w:rsidP="005365C9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86A2D">
        <w:rPr>
          <w:rFonts w:ascii="Arial" w:hAnsi="Arial" w:cs="Arial"/>
          <w:b/>
          <w:sz w:val="22"/>
          <w:szCs w:val="22"/>
          <w:u w:val="single"/>
        </w:rPr>
        <w:t>1167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686A2D">
        <w:rPr>
          <w:rFonts w:ascii="Arial" w:hAnsi="Arial" w:cs="Arial"/>
          <w:b/>
          <w:sz w:val="22"/>
          <w:szCs w:val="22"/>
          <w:u w:val="single"/>
        </w:rPr>
        <w:t>31</w:t>
      </w:r>
      <w:r w:rsidR="007D3311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>
        <w:rPr>
          <w:rFonts w:ascii="Arial" w:hAnsi="Arial" w:cs="Arial"/>
          <w:b/>
          <w:sz w:val="22"/>
          <w:szCs w:val="22"/>
          <w:u w:val="single"/>
        </w:rPr>
        <w:t>1</w:t>
      </w:r>
      <w:r w:rsidR="00686A2D">
        <w:rPr>
          <w:rFonts w:ascii="Arial" w:hAnsi="Arial" w:cs="Arial"/>
          <w:b/>
          <w:sz w:val="22"/>
          <w:szCs w:val="22"/>
          <w:u w:val="single"/>
        </w:rPr>
        <w:t>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686A2D" w:rsidRPr="00686A2D" w:rsidRDefault="00686A2D" w:rsidP="00686A2D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b/>
          <w:lang w:val="en-GB"/>
        </w:rPr>
      </w:pPr>
      <w:r w:rsidRPr="00686A2D">
        <w:rPr>
          <w:rFonts w:ascii="Arial" w:eastAsia="Calibri" w:hAnsi="Arial" w:cs="Arial"/>
          <w:b/>
          <w:lang w:val="en-GB"/>
        </w:rPr>
        <w:t>1167.</w:t>
      </w:r>
      <w:r w:rsidRPr="00686A2D">
        <w:rPr>
          <w:rFonts w:ascii="Arial" w:eastAsia="Calibri" w:hAnsi="Arial" w:cs="Arial"/>
          <w:b/>
          <w:lang w:val="en-GB"/>
        </w:rPr>
        <w:tab/>
        <w:t xml:space="preserve">Mr K </w:t>
      </w:r>
      <w:proofErr w:type="spellStart"/>
      <w:r w:rsidRPr="00686A2D">
        <w:rPr>
          <w:rFonts w:ascii="Arial" w:eastAsia="Calibri" w:hAnsi="Arial" w:cs="Arial"/>
          <w:b/>
          <w:lang w:val="en-GB"/>
        </w:rPr>
        <w:t>Ceza</w:t>
      </w:r>
      <w:proofErr w:type="spellEnd"/>
      <w:r w:rsidRPr="00686A2D">
        <w:rPr>
          <w:rFonts w:ascii="Arial" w:eastAsia="Calibri" w:hAnsi="Arial" w:cs="Arial"/>
          <w:b/>
          <w:lang w:val="en-GB"/>
        </w:rPr>
        <w:t xml:space="preserve"> (EFF) to ask the Minister of </w:t>
      </w:r>
      <w:r w:rsidRPr="00686A2D">
        <w:rPr>
          <w:rFonts w:ascii="Arial" w:eastAsia="Calibri" w:hAnsi="Arial" w:cs="Arial"/>
          <w:b/>
          <w:bCs/>
          <w:lang w:val="en-GB"/>
        </w:rPr>
        <w:t xml:space="preserve">Water </w:t>
      </w:r>
      <w:r w:rsidRPr="00686A2D">
        <w:rPr>
          <w:rFonts w:ascii="Arial" w:eastAsia="Calibri" w:hAnsi="Arial" w:cs="Arial"/>
          <w:b/>
          <w:lang w:val="en-GB"/>
        </w:rPr>
        <w:t>and</w:t>
      </w:r>
      <w:r w:rsidRPr="00686A2D">
        <w:rPr>
          <w:rFonts w:ascii="Arial" w:eastAsia="Calibri" w:hAnsi="Arial" w:cs="Arial"/>
          <w:b/>
          <w:bCs/>
          <w:lang w:val="en-GB"/>
        </w:rPr>
        <w:t xml:space="preserve"> Sanitation</w:t>
      </w:r>
      <w:r w:rsidR="00DD6CB9" w:rsidRPr="00686A2D">
        <w:rPr>
          <w:rFonts w:ascii="Arial" w:eastAsia="Calibri" w:hAnsi="Arial" w:cs="Arial"/>
          <w:b/>
          <w:bCs/>
          <w:lang w:val="en-GB"/>
        </w:rPr>
        <w:fldChar w:fldCharType="begin"/>
      </w:r>
      <w:r w:rsidRPr="00686A2D">
        <w:rPr>
          <w:rFonts w:ascii="Arial" w:eastAsia="Calibri" w:hAnsi="Arial" w:cs="Arial"/>
          <w:sz w:val="22"/>
          <w:szCs w:val="22"/>
        </w:rPr>
        <w:instrText xml:space="preserve"> XE "</w:instrText>
      </w:r>
      <w:r w:rsidRPr="00686A2D">
        <w:rPr>
          <w:rFonts w:ascii="Arial" w:eastAsia="Calibri" w:hAnsi="Arial" w:cs="Arial"/>
          <w:b/>
          <w:lang w:val="en-GB"/>
        </w:rPr>
        <w:instrText>Minister of Water and Sanitation</w:instrText>
      </w:r>
      <w:r w:rsidRPr="00686A2D">
        <w:rPr>
          <w:rFonts w:ascii="Arial" w:eastAsia="Calibri" w:hAnsi="Arial" w:cs="Arial"/>
          <w:sz w:val="22"/>
          <w:szCs w:val="22"/>
        </w:rPr>
        <w:instrText xml:space="preserve">" </w:instrText>
      </w:r>
      <w:r w:rsidR="00DD6CB9" w:rsidRPr="00686A2D">
        <w:rPr>
          <w:rFonts w:ascii="Arial" w:eastAsia="Calibri" w:hAnsi="Arial" w:cs="Arial"/>
          <w:b/>
          <w:bCs/>
          <w:lang w:val="en-GB"/>
        </w:rPr>
        <w:fldChar w:fldCharType="end"/>
      </w:r>
      <w:r w:rsidRPr="00686A2D">
        <w:rPr>
          <w:rFonts w:ascii="Arial" w:eastAsia="Calibri" w:hAnsi="Arial" w:cs="Arial"/>
          <w:b/>
          <w:lang w:val="en-GB"/>
        </w:rPr>
        <w:t>:</w:t>
      </w:r>
    </w:p>
    <w:p w:rsidR="00686A2D" w:rsidRPr="00686A2D" w:rsidRDefault="00686A2D" w:rsidP="00686A2D">
      <w:pPr>
        <w:autoSpaceDE w:val="0"/>
        <w:autoSpaceDN w:val="0"/>
        <w:adjustRightInd w:val="0"/>
        <w:spacing w:before="100" w:beforeAutospacing="1" w:after="100" w:afterAutospacing="1"/>
        <w:ind w:left="709"/>
        <w:jc w:val="both"/>
        <w:rPr>
          <w:rFonts w:ascii="Arial" w:eastAsia="Calibri" w:hAnsi="Arial" w:cs="Arial"/>
          <w:lang w:val="en-GB"/>
        </w:rPr>
      </w:pPr>
      <w:r w:rsidRPr="00686A2D">
        <w:rPr>
          <w:rFonts w:ascii="Arial" w:eastAsia="Calibri" w:hAnsi="Arial" w:cs="Arial"/>
          <w:lang w:val="en-GB"/>
        </w:rPr>
        <w:t xml:space="preserve">Whether he received any complaints regarding potable water quality in the (a) Steve </w:t>
      </w:r>
      <w:proofErr w:type="spellStart"/>
      <w:r w:rsidRPr="00686A2D">
        <w:rPr>
          <w:rFonts w:ascii="Arial" w:eastAsia="Calibri" w:hAnsi="Arial" w:cs="Arial"/>
          <w:lang w:val="en-GB"/>
        </w:rPr>
        <w:t>Tshwete</w:t>
      </w:r>
      <w:proofErr w:type="spellEnd"/>
      <w:r w:rsidRPr="00686A2D">
        <w:rPr>
          <w:rFonts w:ascii="Arial" w:eastAsia="Calibri" w:hAnsi="Arial" w:cs="Arial"/>
          <w:lang w:val="en-GB"/>
        </w:rPr>
        <w:t xml:space="preserve"> Local Municipality and (b) </w:t>
      </w:r>
      <w:proofErr w:type="spellStart"/>
      <w:r w:rsidRPr="00686A2D">
        <w:rPr>
          <w:rFonts w:ascii="Arial" w:eastAsia="Calibri" w:hAnsi="Arial" w:cs="Arial"/>
          <w:lang w:val="en-GB"/>
        </w:rPr>
        <w:t>Emalahleni</w:t>
      </w:r>
      <w:proofErr w:type="spellEnd"/>
      <w:r w:rsidRPr="00686A2D">
        <w:rPr>
          <w:rFonts w:ascii="Arial" w:eastAsia="Calibri" w:hAnsi="Arial" w:cs="Arial"/>
          <w:lang w:val="en-GB"/>
        </w:rPr>
        <w:t xml:space="preserve"> Local Municipality as a result of coal mining in the surrounding area; if not, what is the position in this regard; if so, what (</w:t>
      </w:r>
      <w:proofErr w:type="spellStart"/>
      <w:r w:rsidRPr="00686A2D">
        <w:rPr>
          <w:rFonts w:ascii="Arial" w:eastAsia="Calibri" w:hAnsi="Arial" w:cs="Arial"/>
          <w:lang w:val="en-GB"/>
        </w:rPr>
        <w:t>i</w:t>
      </w:r>
      <w:proofErr w:type="spellEnd"/>
      <w:r w:rsidRPr="00686A2D">
        <w:rPr>
          <w:rFonts w:ascii="Arial" w:eastAsia="Calibri" w:hAnsi="Arial" w:cs="Arial"/>
          <w:lang w:val="en-GB"/>
        </w:rPr>
        <w:t>) steps has his department taken to solve the water quality problem and (ii) are the further relevant details?</w:t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lang w:val="en-GB"/>
        </w:rPr>
        <w:tab/>
      </w:r>
      <w:r w:rsidRPr="00686A2D">
        <w:rPr>
          <w:rFonts w:ascii="Arial" w:eastAsia="Calibri" w:hAnsi="Arial" w:cs="Arial"/>
          <w:color w:val="000000"/>
          <w:sz w:val="20"/>
          <w:lang w:val="en-GB"/>
        </w:rPr>
        <w:t>NW1308E</w:t>
      </w:r>
    </w:p>
    <w:p w:rsidR="00361A62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sz w:val="22"/>
          <w:szCs w:val="22"/>
        </w:rPr>
        <w:t>---00O00---</w:t>
      </w:r>
    </w:p>
    <w:p w:rsidR="007C2BAF" w:rsidRDefault="007C2BAF" w:rsidP="009069A2">
      <w:pPr>
        <w:tabs>
          <w:tab w:val="left" w:pos="540"/>
          <w:tab w:val="left" w:pos="709"/>
        </w:tabs>
        <w:ind w:left="709"/>
        <w:rPr>
          <w:rFonts w:ascii="Arial" w:hAnsi="Arial" w:cs="Arial"/>
          <w:b/>
          <w:sz w:val="22"/>
          <w:szCs w:val="22"/>
        </w:rPr>
      </w:pPr>
    </w:p>
    <w:p w:rsidR="009069A2" w:rsidRDefault="009069A2" w:rsidP="009069A2">
      <w:pPr>
        <w:tabs>
          <w:tab w:val="left" w:pos="540"/>
          <w:tab w:val="left" w:pos="709"/>
        </w:tabs>
        <w:ind w:left="709"/>
        <w:rPr>
          <w:rFonts w:ascii="Arial" w:hAnsi="Arial" w:cs="Arial"/>
          <w:b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F84834" w:rsidRDefault="00F84834" w:rsidP="009069A2">
      <w:pPr>
        <w:tabs>
          <w:tab w:val="left" w:pos="540"/>
          <w:tab w:val="left" w:pos="709"/>
        </w:tabs>
        <w:ind w:left="709"/>
        <w:rPr>
          <w:rFonts w:ascii="Arial" w:hAnsi="Arial" w:cs="Arial"/>
          <w:b/>
          <w:sz w:val="22"/>
          <w:szCs w:val="22"/>
        </w:rPr>
      </w:pPr>
    </w:p>
    <w:p w:rsidR="00E03D7B" w:rsidRPr="009069A2" w:rsidRDefault="002452F1" w:rsidP="009069A2">
      <w:pPr>
        <w:pStyle w:val="ListParagraph"/>
        <w:numPr>
          <w:ilvl w:val="0"/>
          <w:numId w:val="20"/>
        </w:numPr>
        <w:tabs>
          <w:tab w:val="left" w:pos="540"/>
          <w:tab w:val="left" w:pos="709"/>
        </w:tabs>
        <w:jc w:val="both"/>
        <w:rPr>
          <w:rFonts w:ascii="Arial" w:eastAsia="Calibri" w:hAnsi="Arial" w:cs="Arial"/>
          <w:lang w:val="en-GB"/>
        </w:rPr>
      </w:pPr>
      <w:r w:rsidRPr="009069A2">
        <w:rPr>
          <w:rFonts w:ascii="Arial" w:eastAsia="Calibri" w:hAnsi="Arial" w:cs="Arial"/>
          <w:lang w:val="en-GB"/>
        </w:rPr>
        <w:t xml:space="preserve">There are </w:t>
      </w:r>
      <w:r w:rsidR="009069A2" w:rsidRPr="009069A2">
        <w:rPr>
          <w:rFonts w:ascii="Arial" w:eastAsia="Calibri" w:hAnsi="Arial" w:cs="Arial"/>
          <w:lang w:val="en-GB"/>
        </w:rPr>
        <w:t xml:space="preserve">no </w:t>
      </w:r>
      <w:r w:rsidR="00DF695A">
        <w:rPr>
          <w:rFonts w:ascii="Arial" w:eastAsia="Calibri" w:hAnsi="Arial" w:cs="Arial"/>
          <w:lang w:val="en-GB"/>
        </w:rPr>
        <w:t xml:space="preserve">recent </w:t>
      </w:r>
      <w:r w:rsidRPr="009069A2">
        <w:rPr>
          <w:rFonts w:ascii="Arial" w:eastAsia="Calibri" w:hAnsi="Arial" w:cs="Arial"/>
          <w:lang w:val="en-GB"/>
        </w:rPr>
        <w:t>complaints</w:t>
      </w:r>
      <w:r w:rsidR="009069A2" w:rsidRPr="009069A2">
        <w:rPr>
          <w:rFonts w:ascii="Arial" w:eastAsia="Calibri" w:hAnsi="Arial" w:cs="Arial"/>
          <w:lang w:val="en-GB"/>
        </w:rPr>
        <w:t xml:space="preserve"> regarding potable water quality</w:t>
      </w:r>
      <w:r w:rsidRPr="009069A2">
        <w:rPr>
          <w:rFonts w:ascii="Arial" w:eastAsia="Calibri" w:hAnsi="Arial" w:cs="Arial"/>
          <w:lang w:val="en-GB"/>
        </w:rPr>
        <w:t xml:space="preserve"> </w:t>
      </w:r>
      <w:r w:rsidR="009069A2" w:rsidRPr="009069A2">
        <w:rPr>
          <w:rFonts w:ascii="Arial" w:eastAsia="Calibri" w:hAnsi="Arial" w:cs="Arial"/>
          <w:lang w:val="en-GB"/>
        </w:rPr>
        <w:t xml:space="preserve">that were </w:t>
      </w:r>
      <w:r w:rsidRPr="009069A2">
        <w:rPr>
          <w:rFonts w:ascii="Arial" w:eastAsia="Calibri" w:hAnsi="Arial" w:cs="Arial"/>
          <w:lang w:val="en-GB"/>
        </w:rPr>
        <w:t xml:space="preserve">received </w:t>
      </w:r>
      <w:r w:rsidR="00E810D1">
        <w:rPr>
          <w:rFonts w:ascii="Arial" w:eastAsia="Calibri" w:hAnsi="Arial" w:cs="Arial"/>
          <w:lang w:val="en-GB"/>
        </w:rPr>
        <w:t>by th</w:t>
      </w:r>
      <w:r w:rsidR="00D92222">
        <w:rPr>
          <w:rFonts w:ascii="Arial" w:eastAsia="Calibri" w:hAnsi="Arial" w:cs="Arial"/>
          <w:lang w:val="en-GB"/>
        </w:rPr>
        <w:t>e</w:t>
      </w:r>
      <w:bookmarkStart w:id="0" w:name="_GoBack"/>
      <w:bookmarkEnd w:id="0"/>
      <w:r w:rsidR="00E810D1">
        <w:rPr>
          <w:rFonts w:ascii="Arial" w:eastAsia="Calibri" w:hAnsi="Arial" w:cs="Arial"/>
          <w:lang w:val="en-GB"/>
        </w:rPr>
        <w:t xml:space="preserve"> Department of Water and Sanitation </w:t>
      </w:r>
      <w:r w:rsidRPr="009069A2">
        <w:rPr>
          <w:rFonts w:ascii="Arial" w:eastAsia="Calibri" w:hAnsi="Arial" w:cs="Arial"/>
          <w:lang w:val="en-GB"/>
        </w:rPr>
        <w:t xml:space="preserve">from </w:t>
      </w:r>
      <w:r w:rsidR="00E810D1">
        <w:rPr>
          <w:rFonts w:ascii="Arial" w:eastAsia="Calibri" w:hAnsi="Arial" w:cs="Arial"/>
          <w:lang w:val="en-GB"/>
        </w:rPr>
        <w:t xml:space="preserve">the </w:t>
      </w:r>
      <w:r w:rsidRPr="009069A2">
        <w:rPr>
          <w:rFonts w:ascii="Arial" w:eastAsia="Calibri" w:hAnsi="Arial" w:cs="Arial"/>
          <w:lang w:val="en-GB"/>
        </w:rPr>
        <w:t xml:space="preserve">Steve </w:t>
      </w:r>
      <w:proofErr w:type="spellStart"/>
      <w:r w:rsidRPr="009069A2">
        <w:rPr>
          <w:rFonts w:ascii="Arial" w:eastAsia="Calibri" w:hAnsi="Arial" w:cs="Arial"/>
          <w:lang w:val="en-GB"/>
        </w:rPr>
        <w:t>Tshwete</w:t>
      </w:r>
      <w:proofErr w:type="spellEnd"/>
      <w:r w:rsidRPr="009069A2">
        <w:rPr>
          <w:rFonts w:ascii="Arial" w:eastAsia="Calibri" w:hAnsi="Arial" w:cs="Arial"/>
          <w:lang w:val="en-GB"/>
        </w:rPr>
        <w:t xml:space="preserve"> Local Municipality</w:t>
      </w:r>
      <w:r w:rsidR="009069A2" w:rsidRPr="009069A2">
        <w:rPr>
          <w:rFonts w:ascii="Arial" w:eastAsia="Calibri" w:hAnsi="Arial" w:cs="Arial"/>
          <w:lang w:val="en-GB"/>
        </w:rPr>
        <w:t>.</w:t>
      </w:r>
      <w:r w:rsidRPr="009069A2">
        <w:rPr>
          <w:rFonts w:ascii="Arial" w:eastAsia="Calibri" w:hAnsi="Arial" w:cs="Arial"/>
          <w:lang w:val="en-GB"/>
        </w:rPr>
        <w:t xml:space="preserve"> </w:t>
      </w:r>
      <w:r w:rsidR="009069A2" w:rsidRPr="009069A2">
        <w:rPr>
          <w:rFonts w:ascii="Arial" w:eastAsia="Calibri" w:hAnsi="Arial" w:cs="Arial"/>
          <w:lang w:val="en-GB"/>
        </w:rPr>
        <w:t>A</w:t>
      </w:r>
      <w:r w:rsidRPr="009069A2">
        <w:rPr>
          <w:rFonts w:ascii="Arial" w:eastAsia="Calibri" w:hAnsi="Arial" w:cs="Arial"/>
          <w:lang w:val="en-GB"/>
        </w:rPr>
        <w:t xml:space="preserve">ll </w:t>
      </w:r>
      <w:r w:rsidR="00E810D1">
        <w:rPr>
          <w:rFonts w:ascii="Arial" w:eastAsia="Calibri" w:hAnsi="Arial" w:cs="Arial"/>
          <w:lang w:val="en-GB"/>
        </w:rPr>
        <w:t>previously reported</w:t>
      </w:r>
      <w:r w:rsidR="00E810D1" w:rsidRPr="009069A2">
        <w:rPr>
          <w:rFonts w:ascii="Arial" w:eastAsia="Calibri" w:hAnsi="Arial" w:cs="Arial"/>
          <w:lang w:val="en-GB"/>
        </w:rPr>
        <w:t xml:space="preserve"> </w:t>
      </w:r>
      <w:r w:rsidRPr="009069A2">
        <w:rPr>
          <w:rFonts w:ascii="Arial" w:eastAsia="Calibri" w:hAnsi="Arial" w:cs="Arial"/>
          <w:lang w:val="en-GB"/>
        </w:rPr>
        <w:t xml:space="preserve">cases were closed after the municipality </w:t>
      </w:r>
      <w:r w:rsidR="00E810D1">
        <w:rPr>
          <w:rFonts w:ascii="Arial" w:eastAsia="Calibri" w:hAnsi="Arial" w:cs="Arial"/>
          <w:lang w:val="en-GB"/>
        </w:rPr>
        <w:t>implemented</w:t>
      </w:r>
      <w:r w:rsidRPr="009069A2">
        <w:rPr>
          <w:rFonts w:ascii="Arial" w:eastAsia="Calibri" w:hAnsi="Arial" w:cs="Arial"/>
          <w:lang w:val="en-GB"/>
        </w:rPr>
        <w:t xml:space="preserve"> corrective measures to address the</w:t>
      </w:r>
      <w:r w:rsidR="00A52C84" w:rsidRPr="009069A2">
        <w:rPr>
          <w:rFonts w:ascii="Arial" w:eastAsia="Calibri" w:hAnsi="Arial" w:cs="Arial"/>
          <w:lang w:val="en-GB"/>
        </w:rPr>
        <w:t xml:space="preserve"> reported complaints.</w:t>
      </w:r>
    </w:p>
    <w:p w:rsidR="00714C9C" w:rsidRPr="00714C9C" w:rsidRDefault="00714C9C" w:rsidP="00735132">
      <w:pPr>
        <w:pStyle w:val="ListParagraph"/>
        <w:tabs>
          <w:tab w:val="left" w:pos="540"/>
          <w:tab w:val="left" w:pos="709"/>
        </w:tabs>
        <w:jc w:val="both"/>
        <w:rPr>
          <w:rFonts w:ascii="Arial" w:eastAsia="Calibri" w:hAnsi="Arial" w:cs="Arial"/>
          <w:lang w:val="en-GB"/>
        </w:rPr>
      </w:pPr>
    </w:p>
    <w:p w:rsidR="00EC558A" w:rsidRDefault="00714C9C" w:rsidP="00735132">
      <w:pPr>
        <w:pStyle w:val="ListParagraph"/>
        <w:numPr>
          <w:ilvl w:val="0"/>
          <w:numId w:val="20"/>
        </w:numPr>
        <w:jc w:val="both"/>
        <w:rPr>
          <w:rFonts w:ascii="Arial" w:eastAsia="Calibri" w:hAnsi="Arial" w:cs="Arial"/>
          <w:lang w:val="en-GB"/>
        </w:rPr>
      </w:pPr>
      <w:r w:rsidRPr="00EC558A">
        <w:rPr>
          <w:rFonts w:ascii="Arial" w:eastAsia="Calibri" w:hAnsi="Arial" w:cs="Arial"/>
          <w:lang w:val="en-GB"/>
        </w:rPr>
        <w:t>The Department receive</w:t>
      </w:r>
      <w:r w:rsidR="00A50411">
        <w:rPr>
          <w:rFonts w:ascii="Arial" w:eastAsia="Calibri" w:hAnsi="Arial" w:cs="Arial"/>
          <w:lang w:val="en-GB"/>
        </w:rPr>
        <w:t>d</w:t>
      </w:r>
      <w:r w:rsidRPr="00EC558A">
        <w:rPr>
          <w:rFonts w:ascii="Arial" w:eastAsia="Calibri" w:hAnsi="Arial" w:cs="Arial"/>
          <w:lang w:val="en-GB"/>
        </w:rPr>
        <w:t xml:space="preserve"> complaints </w:t>
      </w:r>
      <w:r w:rsidR="00A52C84">
        <w:rPr>
          <w:rFonts w:ascii="Arial" w:eastAsia="Calibri" w:hAnsi="Arial" w:cs="Arial"/>
          <w:lang w:val="en-GB"/>
        </w:rPr>
        <w:t>regarding poor water quality</w:t>
      </w:r>
      <w:r w:rsidR="00D40932" w:rsidRPr="00EC558A">
        <w:rPr>
          <w:rFonts w:ascii="Arial" w:eastAsia="Calibri" w:hAnsi="Arial" w:cs="Arial"/>
          <w:lang w:val="en-GB"/>
        </w:rPr>
        <w:t xml:space="preserve"> in </w:t>
      </w:r>
      <w:proofErr w:type="spellStart"/>
      <w:r w:rsidRPr="00EC558A">
        <w:rPr>
          <w:rFonts w:ascii="Arial" w:eastAsia="Calibri" w:hAnsi="Arial" w:cs="Arial"/>
          <w:lang w:val="en-GB"/>
        </w:rPr>
        <w:t>Emalahleni</w:t>
      </w:r>
      <w:proofErr w:type="spellEnd"/>
      <w:r w:rsidRPr="00EC558A">
        <w:rPr>
          <w:rFonts w:ascii="Arial" w:eastAsia="Calibri" w:hAnsi="Arial" w:cs="Arial"/>
          <w:lang w:val="en-GB"/>
        </w:rPr>
        <w:t xml:space="preserve"> Local</w:t>
      </w:r>
      <w:r w:rsidR="00A50411">
        <w:rPr>
          <w:rFonts w:ascii="Arial" w:eastAsia="Calibri" w:hAnsi="Arial" w:cs="Arial"/>
          <w:lang w:val="en-GB"/>
        </w:rPr>
        <w:t xml:space="preserve"> </w:t>
      </w:r>
      <w:r w:rsidR="00A36AFB">
        <w:rPr>
          <w:rFonts w:ascii="Arial" w:eastAsia="Calibri" w:hAnsi="Arial" w:cs="Arial"/>
          <w:lang w:val="en-GB"/>
        </w:rPr>
        <w:t>M</w:t>
      </w:r>
      <w:r w:rsidR="00A50411">
        <w:rPr>
          <w:rFonts w:ascii="Arial" w:eastAsia="Calibri" w:hAnsi="Arial" w:cs="Arial"/>
          <w:lang w:val="en-GB"/>
        </w:rPr>
        <w:t>unicipality</w:t>
      </w:r>
      <w:r w:rsidR="00FE6448">
        <w:rPr>
          <w:rFonts w:ascii="Arial" w:eastAsia="Calibri" w:hAnsi="Arial" w:cs="Arial"/>
          <w:lang w:val="en-GB"/>
        </w:rPr>
        <w:t xml:space="preserve"> and has initiated an </w:t>
      </w:r>
      <w:r w:rsidR="00D40932" w:rsidRPr="00EC558A">
        <w:rPr>
          <w:rFonts w:ascii="Arial" w:eastAsia="Calibri" w:hAnsi="Arial" w:cs="Arial"/>
          <w:lang w:val="en-GB"/>
        </w:rPr>
        <w:t>investigat</w:t>
      </w:r>
      <w:r w:rsidR="00FE6448">
        <w:rPr>
          <w:rFonts w:ascii="Arial" w:eastAsia="Calibri" w:hAnsi="Arial" w:cs="Arial"/>
          <w:lang w:val="en-GB"/>
        </w:rPr>
        <w:t xml:space="preserve">ion. The findings of the investigation were </w:t>
      </w:r>
      <w:r w:rsidR="00EC558A">
        <w:rPr>
          <w:rFonts w:ascii="Arial" w:eastAsia="Calibri" w:hAnsi="Arial" w:cs="Arial"/>
          <w:lang w:val="en-GB"/>
        </w:rPr>
        <w:t>t</w:t>
      </w:r>
      <w:r w:rsidR="00144F0F">
        <w:rPr>
          <w:rFonts w:ascii="Arial" w:eastAsia="Calibri" w:hAnsi="Arial" w:cs="Arial"/>
          <w:lang w:val="en-GB"/>
        </w:rPr>
        <w:t>hat</w:t>
      </w:r>
      <w:r w:rsidR="00EC558A" w:rsidRPr="00EC558A">
        <w:rPr>
          <w:rFonts w:ascii="Arial" w:eastAsia="Calibri" w:hAnsi="Arial" w:cs="Arial"/>
          <w:lang w:val="en-GB"/>
        </w:rPr>
        <w:t xml:space="preserve"> </w:t>
      </w:r>
      <w:r w:rsidR="00EC558A">
        <w:rPr>
          <w:rFonts w:ascii="Arial" w:eastAsia="Calibri" w:hAnsi="Arial" w:cs="Arial"/>
          <w:lang w:val="en-GB"/>
        </w:rPr>
        <w:t xml:space="preserve">some of the </w:t>
      </w:r>
      <w:r w:rsidR="00EC558A" w:rsidRPr="00EC558A">
        <w:rPr>
          <w:rFonts w:ascii="Arial" w:eastAsia="Calibri" w:hAnsi="Arial" w:cs="Arial"/>
          <w:lang w:val="en-GB"/>
        </w:rPr>
        <w:t>min</w:t>
      </w:r>
      <w:r w:rsidR="00EC558A">
        <w:rPr>
          <w:rFonts w:ascii="Arial" w:eastAsia="Calibri" w:hAnsi="Arial" w:cs="Arial"/>
          <w:lang w:val="en-GB"/>
        </w:rPr>
        <w:t xml:space="preserve">es </w:t>
      </w:r>
      <w:r w:rsidR="00EC558A" w:rsidRPr="00EC558A">
        <w:rPr>
          <w:rFonts w:ascii="Arial" w:eastAsia="Calibri" w:hAnsi="Arial" w:cs="Arial"/>
          <w:lang w:val="en-GB"/>
        </w:rPr>
        <w:t>w</w:t>
      </w:r>
      <w:r w:rsidR="00EC558A">
        <w:rPr>
          <w:rFonts w:ascii="Arial" w:eastAsia="Calibri" w:hAnsi="Arial" w:cs="Arial"/>
          <w:lang w:val="en-GB"/>
        </w:rPr>
        <w:t>ere</w:t>
      </w:r>
      <w:r w:rsidR="00EC558A" w:rsidRPr="00EC558A">
        <w:rPr>
          <w:rFonts w:ascii="Arial" w:eastAsia="Calibri" w:hAnsi="Arial" w:cs="Arial"/>
          <w:lang w:val="en-GB"/>
        </w:rPr>
        <w:t xml:space="preserve"> discharging </w:t>
      </w:r>
      <w:r w:rsidR="00144F0F">
        <w:rPr>
          <w:rFonts w:ascii="Arial" w:eastAsia="Calibri" w:hAnsi="Arial" w:cs="Arial"/>
          <w:lang w:val="en-GB"/>
        </w:rPr>
        <w:t xml:space="preserve">non-compliant </w:t>
      </w:r>
      <w:r w:rsidR="00EC558A" w:rsidRPr="00EC558A">
        <w:rPr>
          <w:rFonts w:ascii="Arial" w:eastAsia="Calibri" w:hAnsi="Arial" w:cs="Arial"/>
          <w:lang w:val="en-GB"/>
        </w:rPr>
        <w:t xml:space="preserve">water into the </w:t>
      </w:r>
      <w:r w:rsidR="00A52C84">
        <w:rPr>
          <w:rFonts w:ascii="Arial" w:eastAsia="Calibri" w:hAnsi="Arial" w:cs="Arial"/>
          <w:lang w:val="en-GB"/>
        </w:rPr>
        <w:t>water streams or systems</w:t>
      </w:r>
      <w:r w:rsidR="00EC558A">
        <w:rPr>
          <w:rFonts w:ascii="Arial" w:eastAsia="Calibri" w:hAnsi="Arial" w:cs="Arial"/>
          <w:lang w:val="en-GB"/>
        </w:rPr>
        <w:t xml:space="preserve">. </w:t>
      </w:r>
      <w:r w:rsidR="00FE6448">
        <w:rPr>
          <w:rFonts w:ascii="Arial" w:eastAsia="Calibri" w:hAnsi="Arial" w:cs="Arial"/>
          <w:lang w:val="en-GB"/>
        </w:rPr>
        <w:t xml:space="preserve">The </w:t>
      </w:r>
      <w:r w:rsidR="00EC558A">
        <w:rPr>
          <w:rFonts w:ascii="Arial" w:eastAsia="Calibri" w:hAnsi="Arial" w:cs="Arial"/>
          <w:lang w:val="en-GB"/>
        </w:rPr>
        <w:t xml:space="preserve">Department issued notices </w:t>
      </w:r>
      <w:r w:rsidR="00EC558A" w:rsidRPr="00EC558A">
        <w:rPr>
          <w:rFonts w:ascii="Arial" w:eastAsia="Calibri" w:hAnsi="Arial" w:cs="Arial"/>
          <w:lang w:val="en-GB"/>
        </w:rPr>
        <w:t>of intention to issue directive</w:t>
      </w:r>
      <w:r w:rsidR="00EC558A">
        <w:rPr>
          <w:rFonts w:ascii="Arial" w:eastAsia="Calibri" w:hAnsi="Arial" w:cs="Arial"/>
          <w:lang w:val="en-GB"/>
        </w:rPr>
        <w:t>s</w:t>
      </w:r>
      <w:r w:rsidR="00A81DEA">
        <w:rPr>
          <w:rFonts w:ascii="Arial" w:eastAsia="Calibri" w:hAnsi="Arial" w:cs="Arial"/>
          <w:lang w:val="en-GB"/>
        </w:rPr>
        <w:t xml:space="preserve"> on 17</w:t>
      </w:r>
      <w:r w:rsidR="00A81DEA" w:rsidRPr="00A81DEA">
        <w:rPr>
          <w:rFonts w:ascii="Arial" w:eastAsia="Calibri" w:hAnsi="Arial" w:cs="Arial"/>
          <w:vertAlign w:val="superscript"/>
          <w:lang w:val="en-GB"/>
        </w:rPr>
        <w:t>th</w:t>
      </w:r>
      <w:r w:rsidR="00A81DEA">
        <w:rPr>
          <w:rFonts w:ascii="Arial" w:eastAsia="Calibri" w:hAnsi="Arial" w:cs="Arial"/>
          <w:lang w:val="en-GB"/>
        </w:rPr>
        <w:t xml:space="preserve"> February 2023,</w:t>
      </w:r>
      <w:r w:rsidR="00EC558A" w:rsidRPr="00EC558A">
        <w:rPr>
          <w:rFonts w:ascii="Arial" w:eastAsia="Calibri" w:hAnsi="Arial" w:cs="Arial"/>
          <w:lang w:val="en-GB"/>
        </w:rPr>
        <w:t xml:space="preserve"> through the provisions of Section 19 of National Water Act to the mine</w:t>
      </w:r>
      <w:r w:rsidR="00EC558A">
        <w:rPr>
          <w:rFonts w:ascii="Arial" w:eastAsia="Calibri" w:hAnsi="Arial" w:cs="Arial"/>
          <w:lang w:val="en-GB"/>
        </w:rPr>
        <w:t>s.</w:t>
      </w:r>
      <w:r w:rsidR="00D913AF">
        <w:rPr>
          <w:rFonts w:ascii="Arial" w:eastAsia="Calibri" w:hAnsi="Arial" w:cs="Arial"/>
          <w:lang w:val="en-GB"/>
        </w:rPr>
        <w:t xml:space="preserve"> These min</w:t>
      </w:r>
      <w:r w:rsidR="00FE6448">
        <w:rPr>
          <w:rFonts w:ascii="Arial" w:eastAsia="Calibri" w:hAnsi="Arial" w:cs="Arial"/>
          <w:lang w:val="en-GB"/>
        </w:rPr>
        <w:t xml:space="preserve">ing companies </w:t>
      </w:r>
      <w:r w:rsidR="00A36AFB">
        <w:rPr>
          <w:rFonts w:ascii="Arial" w:eastAsia="Calibri" w:hAnsi="Arial" w:cs="Arial"/>
          <w:lang w:val="en-GB"/>
        </w:rPr>
        <w:t>were</w:t>
      </w:r>
      <w:r w:rsidR="00D913AF">
        <w:rPr>
          <w:rFonts w:ascii="Arial" w:eastAsia="Calibri" w:hAnsi="Arial" w:cs="Arial"/>
          <w:lang w:val="en-GB"/>
        </w:rPr>
        <w:t xml:space="preserve"> given until </w:t>
      </w:r>
      <w:r w:rsidR="00FE6448">
        <w:rPr>
          <w:rFonts w:ascii="Arial" w:eastAsia="Calibri" w:hAnsi="Arial" w:cs="Arial"/>
          <w:lang w:val="en-GB"/>
        </w:rPr>
        <w:t xml:space="preserve">the end of </w:t>
      </w:r>
      <w:r w:rsidR="00D913AF">
        <w:rPr>
          <w:rFonts w:ascii="Arial" w:eastAsia="Calibri" w:hAnsi="Arial" w:cs="Arial"/>
          <w:lang w:val="en-GB"/>
        </w:rPr>
        <w:t xml:space="preserve">April </w:t>
      </w:r>
      <w:r w:rsidR="00FE6448">
        <w:rPr>
          <w:rFonts w:ascii="Arial" w:eastAsia="Calibri" w:hAnsi="Arial" w:cs="Arial"/>
          <w:lang w:val="en-GB"/>
        </w:rPr>
        <w:t xml:space="preserve">2023 </w:t>
      </w:r>
      <w:r w:rsidR="00D913AF">
        <w:rPr>
          <w:rFonts w:ascii="Arial" w:eastAsia="Calibri" w:hAnsi="Arial" w:cs="Arial"/>
          <w:lang w:val="en-GB"/>
        </w:rPr>
        <w:t>to implement corrective measure</w:t>
      </w:r>
      <w:r w:rsidR="00B439E2">
        <w:rPr>
          <w:rFonts w:ascii="Arial" w:eastAsia="Calibri" w:hAnsi="Arial" w:cs="Arial"/>
          <w:lang w:val="en-GB"/>
        </w:rPr>
        <w:t xml:space="preserve">s. Failure to </w:t>
      </w:r>
      <w:r w:rsidR="00FE6448">
        <w:rPr>
          <w:rFonts w:ascii="Arial" w:eastAsia="Calibri" w:hAnsi="Arial" w:cs="Arial"/>
          <w:lang w:val="en-GB"/>
        </w:rPr>
        <w:t xml:space="preserve">comply and submit </w:t>
      </w:r>
      <w:r w:rsidR="00B439E2">
        <w:rPr>
          <w:rFonts w:ascii="Arial" w:eastAsia="Calibri" w:hAnsi="Arial" w:cs="Arial"/>
          <w:lang w:val="en-GB"/>
        </w:rPr>
        <w:t xml:space="preserve">these to the Department </w:t>
      </w:r>
      <w:r w:rsidR="00D913AF">
        <w:rPr>
          <w:rFonts w:ascii="Arial" w:eastAsia="Calibri" w:hAnsi="Arial" w:cs="Arial"/>
          <w:lang w:val="en-GB"/>
        </w:rPr>
        <w:t>will result in the Department issuing a Directive.</w:t>
      </w:r>
    </w:p>
    <w:p w:rsidR="00D913AF" w:rsidRDefault="00D913AF" w:rsidP="00A36AFB">
      <w:pPr>
        <w:rPr>
          <w:rFonts w:ascii="Arial" w:eastAsia="Calibri" w:hAnsi="Arial" w:cs="Arial"/>
          <w:lang w:val="en-GB"/>
        </w:rPr>
      </w:pPr>
    </w:p>
    <w:p w:rsidR="00F84834" w:rsidRDefault="00D913AF" w:rsidP="00F84834">
      <w:pPr>
        <w:pStyle w:val="ListParagraph"/>
        <w:numPr>
          <w:ilvl w:val="0"/>
          <w:numId w:val="22"/>
        </w:numPr>
        <w:tabs>
          <w:tab w:val="left" w:pos="540"/>
          <w:tab w:val="left" w:pos="709"/>
        </w:tabs>
        <w:jc w:val="both"/>
        <w:rPr>
          <w:rFonts w:ascii="Arial" w:eastAsia="Calibri" w:hAnsi="Arial" w:cs="Arial"/>
        </w:rPr>
      </w:pPr>
      <w:r w:rsidRPr="00F84834">
        <w:rPr>
          <w:rFonts w:ascii="Arial" w:eastAsia="Calibri" w:hAnsi="Arial" w:cs="Arial"/>
          <w:lang w:val="en-GB"/>
        </w:rPr>
        <w:lastRenderedPageBreak/>
        <w:t>The Department has assisted the</w:t>
      </w:r>
      <w:r w:rsidR="00A36AFB" w:rsidRPr="00F84834">
        <w:rPr>
          <w:rFonts w:ascii="Arial" w:eastAsia="Calibri" w:hAnsi="Arial" w:cs="Arial"/>
          <w:lang w:val="en-GB"/>
        </w:rPr>
        <w:t xml:space="preserve"> Steve </w:t>
      </w:r>
      <w:proofErr w:type="spellStart"/>
      <w:r w:rsidR="00A36AFB" w:rsidRPr="00F84834">
        <w:rPr>
          <w:rFonts w:ascii="Arial" w:eastAsia="Calibri" w:hAnsi="Arial" w:cs="Arial"/>
          <w:lang w:val="en-GB"/>
        </w:rPr>
        <w:t>Tshwete</w:t>
      </w:r>
      <w:proofErr w:type="spellEnd"/>
      <w:r w:rsidRPr="00F84834">
        <w:rPr>
          <w:rFonts w:ascii="Arial" w:eastAsia="Calibri" w:hAnsi="Arial" w:cs="Arial"/>
          <w:lang w:val="en-GB"/>
        </w:rPr>
        <w:t xml:space="preserve"> </w:t>
      </w:r>
      <w:r w:rsidR="00F64592">
        <w:rPr>
          <w:rFonts w:ascii="Arial" w:eastAsia="Calibri" w:hAnsi="Arial" w:cs="Arial"/>
          <w:lang w:val="en-GB"/>
        </w:rPr>
        <w:t xml:space="preserve">Local </w:t>
      </w:r>
      <w:r w:rsidR="00B439E2">
        <w:rPr>
          <w:rFonts w:ascii="Arial" w:eastAsia="Calibri" w:hAnsi="Arial" w:cs="Arial"/>
          <w:lang w:val="en-GB"/>
        </w:rPr>
        <w:t>M</w:t>
      </w:r>
      <w:r w:rsidRPr="00F84834">
        <w:rPr>
          <w:rFonts w:ascii="Arial" w:eastAsia="Calibri" w:hAnsi="Arial" w:cs="Arial"/>
          <w:lang w:val="en-GB"/>
        </w:rPr>
        <w:t>unicipality with funding under Regional Bulk Infrastructure Grant (RBIG) for the r</w:t>
      </w:r>
      <w:proofErr w:type="spellStart"/>
      <w:r w:rsidRPr="00F84834">
        <w:rPr>
          <w:rFonts w:ascii="Arial" w:eastAsia="Calibri" w:hAnsi="Arial" w:cs="Arial"/>
        </w:rPr>
        <w:t>efurbishment</w:t>
      </w:r>
      <w:proofErr w:type="spellEnd"/>
      <w:r w:rsidRPr="00F84834">
        <w:rPr>
          <w:rFonts w:ascii="Arial" w:eastAsia="Calibri" w:hAnsi="Arial" w:cs="Arial"/>
        </w:rPr>
        <w:t xml:space="preserve"> and upgrading of</w:t>
      </w:r>
      <w:r w:rsidR="00FE6448">
        <w:rPr>
          <w:rFonts w:ascii="Arial" w:eastAsia="Calibri" w:hAnsi="Arial" w:cs="Arial"/>
        </w:rPr>
        <w:t xml:space="preserve"> the</w:t>
      </w:r>
      <w:r w:rsidRPr="00F84834">
        <w:rPr>
          <w:rFonts w:ascii="Arial" w:eastAsia="Calibri" w:hAnsi="Arial" w:cs="Arial"/>
        </w:rPr>
        <w:t xml:space="preserve"> </w:t>
      </w:r>
      <w:proofErr w:type="spellStart"/>
      <w:r w:rsidRPr="00F84834">
        <w:rPr>
          <w:rFonts w:ascii="Arial" w:eastAsia="Calibri" w:hAnsi="Arial" w:cs="Arial"/>
        </w:rPr>
        <w:t>Vaalbank</w:t>
      </w:r>
      <w:proofErr w:type="spellEnd"/>
      <w:r w:rsidRPr="00F84834">
        <w:rPr>
          <w:rFonts w:ascii="Arial" w:eastAsia="Calibri" w:hAnsi="Arial" w:cs="Arial"/>
        </w:rPr>
        <w:t xml:space="preserve"> W</w:t>
      </w:r>
      <w:r w:rsidR="00A36AFB" w:rsidRPr="00F84834">
        <w:rPr>
          <w:rFonts w:ascii="Arial" w:eastAsia="Calibri" w:hAnsi="Arial" w:cs="Arial"/>
        </w:rPr>
        <w:t xml:space="preserve">ater </w:t>
      </w:r>
      <w:r w:rsidRPr="00F84834">
        <w:rPr>
          <w:rFonts w:ascii="Arial" w:eastAsia="Calibri" w:hAnsi="Arial" w:cs="Arial"/>
        </w:rPr>
        <w:t>T</w:t>
      </w:r>
      <w:r w:rsidR="00A36AFB" w:rsidRPr="00F84834">
        <w:rPr>
          <w:rFonts w:ascii="Arial" w:eastAsia="Calibri" w:hAnsi="Arial" w:cs="Arial"/>
        </w:rPr>
        <w:t xml:space="preserve">reatment </w:t>
      </w:r>
      <w:r w:rsidRPr="00F84834">
        <w:rPr>
          <w:rFonts w:ascii="Arial" w:eastAsia="Calibri" w:hAnsi="Arial" w:cs="Arial"/>
        </w:rPr>
        <w:t>W</w:t>
      </w:r>
      <w:r w:rsidR="00A36AFB" w:rsidRPr="00F84834">
        <w:rPr>
          <w:rFonts w:ascii="Arial" w:eastAsia="Calibri" w:hAnsi="Arial" w:cs="Arial"/>
        </w:rPr>
        <w:t>orks</w:t>
      </w:r>
      <w:r w:rsidRPr="00F84834">
        <w:rPr>
          <w:rFonts w:ascii="Arial" w:eastAsia="Calibri" w:hAnsi="Arial" w:cs="Arial"/>
        </w:rPr>
        <w:t xml:space="preserve"> to improve process performance </w:t>
      </w:r>
      <w:r w:rsidR="00F84834" w:rsidRPr="00F84834">
        <w:rPr>
          <w:rFonts w:ascii="Arial" w:eastAsia="Calibri" w:hAnsi="Arial" w:cs="Arial"/>
        </w:rPr>
        <w:t>and</w:t>
      </w:r>
      <w:r w:rsidRPr="00F84834">
        <w:rPr>
          <w:rFonts w:ascii="Arial" w:eastAsia="Calibri" w:hAnsi="Arial" w:cs="Arial"/>
        </w:rPr>
        <w:t xml:space="preserve"> ensure acceptable drinking water quality. The construction of </w:t>
      </w:r>
      <w:r w:rsidR="00F84834" w:rsidRPr="00F84834">
        <w:rPr>
          <w:rFonts w:ascii="Arial" w:eastAsia="Calibri" w:hAnsi="Arial" w:cs="Arial"/>
        </w:rPr>
        <w:t xml:space="preserve">the </w:t>
      </w:r>
      <w:r w:rsidRPr="00F84834">
        <w:rPr>
          <w:rFonts w:ascii="Arial" w:eastAsia="Calibri" w:hAnsi="Arial" w:cs="Arial"/>
        </w:rPr>
        <w:t>20M</w:t>
      </w:r>
      <w:r w:rsidR="00F64592">
        <w:rPr>
          <w:rFonts w:ascii="Arial" w:eastAsia="Calibri" w:hAnsi="Arial" w:cs="Arial"/>
        </w:rPr>
        <w:t>l/d</w:t>
      </w:r>
      <w:r w:rsidRPr="00F84834">
        <w:rPr>
          <w:rFonts w:ascii="Arial" w:eastAsia="Calibri" w:hAnsi="Arial" w:cs="Arial"/>
        </w:rPr>
        <w:t xml:space="preserve"> reverse osmosis plant </w:t>
      </w:r>
      <w:r w:rsidR="00FE6448">
        <w:rPr>
          <w:rFonts w:ascii="Arial" w:eastAsia="Calibri" w:hAnsi="Arial" w:cs="Arial"/>
        </w:rPr>
        <w:t xml:space="preserve">and a </w:t>
      </w:r>
      <w:r w:rsidR="00995E13" w:rsidRPr="00F84834">
        <w:rPr>
          <w:rFonts w:ascii="Arial" w:eastAsia="Calibri" w:hAnsi="Arial" w:cs="Arial"/>
        </w:rPr>
        <w:t xml:space="preserve">filter system to reduce turbidity and </w:t>
      </w:r>
      <w:r w:rsidRPr="00F84834">
        <w:rPr>
          <w:rFonts w:ascii="Arial" w:eastAsia="Calibri" w:hAnsi="Arial" w:cs="Arial"/>
        </w:rPr>
        <w:t>sulphate concentration</w:t>
      </w:r>
      <w:r w:rsidR="00995E13" w:rsidRPr="00F84834">
        <w:rPr>
          <w:rFonts w:ascii="Arial" w:eastAsia="Calibri" w:hAnsi="Arial" w:cs="Arial"/>
        </w:rPr>
        <w:t xml:space="preserve"> is under</w:t>
      </w:r>
      <w:r w:rsidR="00F84834" w:rsidRPr="00F84834">
        <w:rPr>
          <w:rFonts w:ascii="Arial" w:eastAsia="Calibri" w:hAnsi="Arial" w:cs="Arial"/>
        </w:rPr>
        <w:t>way</w:t>
      </w:r>
      <w:r w:rsidR="00FE6448">
        <w:rPr>
          <w:rFonts w:ascii="Arial" w:eastAsia="Calibri" w:hAnsi="Arial" w:cs="Arial"/>
        </w:rPr>
        <w:t>. The project</w:t>
      </w:r>
      <w:r w:rsidR="00995E13" w:rsidRPr="00F84834">
        <w:rPr>
          <w:rFonts w:ascii="Arial" w:eastAsia="Calibri" w:hAnsi="Arial" w:cs="Arial"/>
        </w:rPr>
        <w:t xml:space="preserve"> is due to be completed in November 2023.</w:t>
      </w:r>
      <w:r w:rsidRPr="00F84834">
        <w:rPr>
          <w:rFonts w:ascii="Arial" w:eastAsia="Calibri" w:hAnsi="Arial" w:cs="Arial"/>
        </w:rPr>
        <w:t xml:space="preserve"> </w:t>
      </w:r>
    </w:p>
    <w:p w:rsidR="00B439E2" w:rsidRDefault="00B439E2" w:rsidP="00A418A3">
      <w:pPr>
        <w:pStyle w:val="ListParagraph"/>
        <w:tabs>
          <w:tab w:val="left" w:pos="540"/>
          <w:tab w:val="left" w:pos="709"/>
        </w:tabs>
        <w:ind w:left="1429"/>
        <w:jc w:val="both"/>
        <w:rPr>
          <w:rFonts w:ascii="Arial" w:eastAsia="Calibri" w:hAnsi="Arial" w:cs="Arial"/>
        </w:rPr>
      </w:pPr>
    </w:p>
    <w:p w:rsidR="00F84834" w:rsidRDefault="00B439E2" w:rsidP="00F84834">
      <w:pPr>
        <w:pStyle w:val="ListParagraph"/>
        <w:tabs>
          <w:tab w:val="left" w:pos="540"/>
          <w:tab w:val="left" w:pos="709"/>
        </w:tabs>
        <w:ind w:left="1429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Furthermore, it should be noted that t</w:t>
      </w:r>
      <w:r w:rsidR="0085525E" w:rsidRPr="00F84834">
        <w:rPr>
          <w:rFonts w:ascii="Arial" w:eastAsia="Calibri" w:hAnsi="Arial" w:cs="Arial"/>
          <w:lang w:val="en-GB"/>
        </w:rPr>
        <w:t xml:space="preserve">he Department </w:t>
      </w:r>
      <w:r w:rsidR="00995E13" w:rsidRPr="00F84834">
        <w:rPr>
          <w:rFonts w:ascii="Arial" w:eastAsia="Calibri" w:hAnsi="Arial" w:cs="Arial"/>
          <w:lang w:val="en-GB"/>
        </w:rPr>
        <w:t>is currently conducting</w:t>
      </w:r>
      <w:r w:rsidR="0085525E" w:rsidRPr="00F84834">
        <w:rPr>
          <w:rFonts w:ascii="Arial" w:eastAsia="Calibri" w:hAnsi="Arial" w:cs="Arial"/>
          <w:lang w:val="en-GB"/>
        </w:rPr>
        <w:t xml:space="preserve"> a feasibility study to investigate the </w:t>
      </w:r>
      <w:r w:rsidR="0046432D" w:rsidRPr="00F84834">
        <w:rPr>
          <w:rFonts w:ascii="Arial" w:eastAsia="Calibri" w:hAnsi="Arial" w:cs="Arial"/>
          <w:lang w:val="en-GB"/>
        </w:rPr>
        <w:t xml:space="preserve">provision of bulk water supply </w:t>
      </w:r>
      <w:r w:rsidR="00FE6448">
        <w:rPr>
          <w:rFonts w:ascii="Arial" w:eastAsia="Calibri" w:hAnsi="Arial" w:cs="Arial"/>
          <w:lang w:val="en-GB"/>
        </w:rPr>
        <w:t>for</w:t>
      </w:r>
      <w:r w:rsidR="00FE6448" w:rsidRPr="00F84834">
        <w:rPr>
          <w:rFonts w:ascii="Arial" w:eastAsia="Calibri" w:hAnsi="Arial" w:cs="Arial"/>
          <w:lang w:val="en-GB"/>
        </w:rPr>
        <w:t xml:space="preserve"> </w:t>
      </w:r>
      <w:r w:rsidR="0046432D" w:rsidRPr="00F84834">
        <w:rPr>
          <w:rFonts w:ascii="Arial" w:eastAsia="Calibri" w:hAnsi="Arial" w:cs="Arial"/>
          <w:lang w:val="en-GB"/>
        </w:rPr>
        <w:t>the</w:t>
      </w:r>
      <w:r w:rsidR="007C2BAF">
        <w:rPr>
          <w:rFonts w:ascii="Arial" w:eastAsia="Calibri" w:hAnsi="Arial" w:cs="Arial"/>
          <w:lang w:val="en-GB"/>
        </w:rPr>
        <w:t xml:space="preserve"> </w:t>
      </w:r>
      <w:proofErr w:type="spellStart"/>
      <w:r w:rsidR="0046432D" w:rsidRPr="00F84834">
        <w:rPr>
          <w:rFonts w:ascii="Arial" w:eastAsia="Calibri" w:hAnsi="Arial" w:cs="Arial"/>
          <w:lang w:val="en-GB"/>
        </w:rPr>
        <w:t>Emalahleni</w:t>
      </w:r>
      <w:proofErr w:type="spellEnd"/>
      <w:r w:rsidR="0046432D" w:rsidRPr="00F84834">
        <w:rPr>
          <w:rFonts w:ascii="Arial" w:eastAsia="Calibri" w:hAnsi="Arial" w:cs="Arial"/>
          <w:lang w:val="en-GB"/>
        </w:rPr>
        <w:t xml:space="preserve"> Local Municipalit</w:t>
      </w:r>
      <w:r w:rsidR="0085771A" w:rsidRPr="00F84834">
        <w:rPr>
          <w:rFonts w:ascii="Arial" w:eastAsia="Calibri" w:hAnsi="Arial" w:cs="Arial"/>
          <w:lang w:val="en-GB"/>
        </w:rPr>
        <w:t xml:space="preserve">y </w:t>
      </w:r>
      <w:r w:rsidR="0046432D" w:rsidRPr="00F84834">
        <w:rPr>
          <w:rFonts w:ascii="Arial" w:eastAsia="Calibri" w:hAnsi="Arial" w:cs="Arial"/>
          <w:lang w:val="en-GB"/>
        </w:rPr>
        <w:t xml:space="preserve">that </w:t>
      </w:r>
      <w:r w:rsidR="00C1034B" w:rsidRPr="00F84834">
        <w:rPr>
          <w:rFonts w:ascii="Arial" w:eastAsia="Calibri" w:hAnsi="Arial" w:cs="Arial"/>
          <w:lang w:val="en-GB"/>
        </w:rPr>
        <w:t>is aimed at</w:t>
      </w:r>
      <w:r w:rsidR="0046432D" w:rsidRPr="00F84834">
        <w:rPr>
          <w:rFonts w:ascii="Arial" w:eastAsia="Calibri" w:hAnsi="Arial" w:cs="Arial"/>
          <w:lang w:val="en-GB"/>
        </w:rPr>
        <w:t xml:space="preserve"> identify</w:t>
      </w:r>
      <w:r w:rsidR="00C1034B" w:rsidRPr="00F84834">
        <w:rPr>
          <w:rFonts w:ascii="Arial" w:eastAsia="Calibri" w:hAnsi="Arial" w:cs="Arial"/>
          <w:lang w:val="en-GB"/>
        </w:rPr>
        <w:t>ing</w:t>
      </w:r>
      <w:r w:rsidR="0046432D" w:rsidRPr="00F84834">
        <w:rPr>
          <w:rFonts w:ascii="Arial" w:eastAsia="Calibri" w:hAnsi="Arial" w:cs="Arial"/>
          <w:lang w:val="en-GB"/>
        </w:rPr>
        <w:t xml:space="preserve"> and develop</w:t>
      </w:r>
      <w:r w:rsidR="00C1034B" w:rsidRPr="00F84834">
        <w:rPr>
          <w:rFonts w:ascii="Arial" w:eastAsia="Calibri" w:hAnsi="Arial" w:cs="Arial"/>
          <w:lang w:val="en-GB"/>
        </w:rPr>
        <w:t>ing</w:t>
      </w:r>
      <w:r w:rsidR="0046432D" w:rsidRPr="00F84834">
        <w:rPr>
          <w:rFonts w:ascii="Arial" w:eastAsia="Calibri" w:hAnsi="Arial" w:cs="Arial"/>
          <w:lang w:val="en-GB"/>
        </w:rPr>
        <w:t xml:space="preserve"> alternative solutions to address the bulk water supply infrastructure deficienc</w:t>
      </w:r>
      <w:r w:rsidR="00735132" w:rsidRPr="00F84834">
        <w:rPr>
          <w:rFonts w:ascii="Arial" w:eastAsia="Calibri" w:hAnsi="Arial" w:cs="Arial"/>
          <w:lang w:val="en-GB"/>
        </w:rPr>
        <w:t>ies</w:t>
      </w:r>
      <w:r w:rsidR="00C1034B" w:rsidRPr="00F84834">
        <w:rPr>
          <w:rFonts w:ascii="Arial" w:eastAsia="Calibri" w:hAnsi="Arial" w:cs="Arial"/>
          <w:lang w:val="en-GB"/>
        </w:rPr>
        <w:t>.</w:t>
      </w:r>
      <w:r w:rsidR="00735132" w:rsidRPr="00F84834">
        <w:rPr>
          <w:rFonts w:ascii="Arial" w:eastAsia="Calibri" w:hAnsi="Arial" w:cs="Arial"/>
          <w:lang w:val="en-GB"/>
        </w:rPr>
        <w:t xml:space="preserve"> </w:t>
      </w:r>
      <w:r w:rsidR="007C2BAF">
        <w:rPr>
          <w:rFonts w:ascii="Arial" w:eastAsia="Calibri" w:hAnsi="Arial" w:cs="Arial"/>
          <w:lang w:val="en-GB"/>
        </w:rPr>
        <w:t>C</w:t>
      </w:r>
      <w:r w:rsidR="00C110A3" w:rsidRPr="00F84834">
        <w:rPr>
          <w:rFonts w:ascii="Arial" w:eastAsia="Calibri" w:hAnsi="Arial" w:cs="Arial"/>
          <w:lang w:val="en-GB"/>
        </w:rPr>
        <w:t>onstruction</w:t>
      </w:r>
      <w:r w:rsidR="00995E13" w:rsidRPr="00F84834">
        <w:rPr>
          <w:rFonts w:ascii="Arial" w:eastAsia="Calibri" w:hAnsi="Arial" w:cs="Arial"/>
          <w:lang w:val="en-GB"/>
        </w:rPr>
        <w:t xml:space="preserve"> </w:t>
      </w:r>
      <w:r w:rsidR="007C2BAF">
        <w:rPr>
          <w:rFonts w:ascii="Arial" w:eastAsia="Calibri" w:hAnsi="Arial" w:cs="Arial"/>
          <w:lang w:val="en-GB"/>
        </w:rPr>
        <w:t>is planned to commence in</w:t>
      </w:r>
      <w:r>
        <w:rPr>
          <w:rFonts w:ascii="Arial" w:eastAsia="Calibri" w:hAnsi="Arial" w:cs="Arial"/>
          <w:lang w:val="en-GB"/>
        </w:rPr>
        <w:t xml:space="preserve"> </w:t>
      </w:r>
      <w:r w:rsidR="00995E13" w:rsidRPr="00F84834">
        <w:rPr>
          <w:rFonts w:ascii="Arial" w:eastAsia="Calibri" w:hAnsi="Arial" w:cs="Arial"/>
          <w:lang w:val="en-GB"/>
        </w:rPr>
        <w:t>2024</w:t>
      </w:r>
      <w:r w:rsidR="00F64592">
        <w:rPr>
          <w:rFonts w:ascii="Arial" w:eastAsia="Calibri" w:hAnsi="Arial" w:cs="Arial"/>
          <w:lang w:val="en-GB"/>
        </w:rPr>
        <w:t>.</w:t>
      </w:r>
    </w:p>
    <w:p w:rsidR="00F84834" w:rsidRDefault="00F84834" w:rsidP="00F84834">
      <w:pPr>
        <w:pStyle w:val="ListParagraph"/>
        <w:tabs>
          <w:tab w:val="left" w:pos="540"/>
          <w:tab w:val="left" w:pos="709"/>
        </w:tabs>
        <w:ind w:left="1429"/>
        <w:jc w:val="both"/>
        <w:rPr>
          <w:rFonts w:ascii="Arial" w:eastAsia="Calibri" w:hAnsi="Arial" w:cs="Arial"/>
          <w:lang w:val="en-GB"/>
        </w:rPr>
      </w:pPr>
    </w:p>
    <w:p w:rsidR="006224CD" w:rsidRPr="00A418A3" w:rsidRDefault="00F64592" w:rsidP="00F84834">
      <w:pPr>
        <w:pStyle w:val="ListParagraph"/>
        <w:numPr>
          <w:ilvl w:val="0"/>
          <w:numId w:val="22"/>
        </w:numPr>
        <w:tabs>
          <w:tab w:val="left" w:pos="540"/>
          <w:tab w:val="left" w:pos="709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GB"/>
        </w:rPr>
        <w:t xml:space="preserve">In addition, the </w:t>
      </w:r>
      <w:r w:rsidR="009378FA">
        <w:rPr>
          <w:rFonts w:ascii="Arial" w:eastAsia="Calibri" w:hAnsi="Arial" w:cs="Arial"/>
          <w:lang w:val="en-GB"/>
        </w:rPr>
        <w:t xml:space="preserve">Department </w:t>
      </w:r>
      <w:r>
        <w:rPr>
          <w:rFonts w:ascii="Arial" w:eastAsia="Calibri" w:hAnsi="Arial" w:cs="Arial"/>
          <w:lang w:val="en-GB"/>
        </w:rPr>
        <w:t xml:space="preserve">also rendered financial support </w:t>
      </w:r>
      <w:r w:rsidR="006224CD">
        <w:rPr>
          <w:rFonts w:ascii="Arial" w:eastAsia="Calibri" w:hAnsi="Arial" w:cs="Arial"/>
          <w:lang w:val="en-GB"/>
        </w:rPr>
        <w:t xml:space="preserve">for the two </w:t>
      </w:r>
      <w:r w:rsidR="00A418A3">
        <w:rPr>
          <w:rFonts w:ascii="Arial" w:eastAsia="Calibri" w:hAnsi="Arial" w:cs="Arial"/>
          <w:lang w:val="en-GB"/>
        </w:rPr>
        <w:t>municipalities</w:t>
      </w:r>
      <w:r w:rsidR="006224CD">
        <w:rPr>
          <w:rFonts w:ascii="Arial" w:eastAsia="Calibri" w:hAnsi="Arial" w:cs="Arial"/>
          <w:lang w:val="en-GB"/>
        </w:rPr>
        <w:t xml:space="preserve"> as indicated in the table below:</w:t>
      </w:r>
    </w:p>
    <w:p w:rsidR="00A418A3" w:rsidRDefault="00A418A3" w:rsidP="00A418A3">
      <w:pPr>
        <w:pStyle w:val="ListParagraph"/>
        <w:tabs>
          <w:tab w:val="left" w:pos="540"/>
          <w:tab w:val="left" w:pos="709"/>
        </w:tabs>
        <w:ind w:left="1429"/>
        <w:jc w:val="both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429" w:type="dxa"/>
        <w:tblLook w:val="04A0"/>
      </w:tblPr>
      <w:tblGrid>
        <w:gridCol w:w="2110"/>
        <w:gridCol w:w="1418"/>
        <w:gridCol w:w="1554"/>
        <w:gridCol w:w="1619"/>
        <w:gridCol w:w="1619"/>
      </w:tblGrid>
      <w:tr w:rsidR="00A418A3" w:rsidTr="007C2BAF">
        <w:tc>
          <w:tcPr>
            <w:tcW w:w="2110" w:type="dxa"/>
            <w:vMerge w:val="restart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2" w:type="dxa"/>
            <w:gridSpan w:val="2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>2022/23</w:t>
            </w:r>
          </w:p>
        </w:tc>
        <w:tc>
          <w:tcPr>
            <w:tcW w:w="3238" w:type="dxa"/>
            <w:gridSpan w:val="2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>2023/24</w:t>
            </w:r>
          </w:p>
        </w:tc>
      </w:tr>
      <w:tr w:rsidR="00A418A3" w:rsidTr="007C2BAF">
        <w:tc>
          <w:tcPr>
            <w:tcW w:w="2110" w:type="dxa"/>
            <w:vMerge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>RBIG</w:t>
            </w:r>
          </w:p>
        </w:tc>
        <w:tc>
          <w:tcPr>
            <w:tcW w:w="1554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>WSIG</w:t>
            </w:r>
          </w:p>
        </w:tc>
        <w:tc>
          <w:tcPr>
            <w:tcW w:w="1619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>RBIG</w:t>
            </w:r>
          </w:p>
        </w:tc>
        <w:tc>
          <w:tcPr>
            <w:tcW w:w="1619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>WSIG</w:t>
            </w:r>
          </w:p>
        </w:tc>
      </w:tr>
      <w:tr w:rsidR="00A418A3" w:rsidTr="007C2BAF">
        <w:tc>
          <w:tcPr>
            <w:tcW w:w="2110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7C2BAF">
              <w:rPr>
                <w:rFonts w:ascii="Arial" w:eastAsia="Calibri" w:hAnsi="Arial" w:cs="Arial"/>
                <w:b/>
                <w:bCs/>
              </w:rPr>
              <w:t xml:space="preserve">Steve </w:t>
            </w:r>
            <w:proofErr w:type="spellStart"/>
            <w:r w:rsidRPr="007C2BAF">
              <w:rPr>
                <w:rFonts w:ascii="Arial" w:eastAsia="Calibri" w:hAnsi="Arial" w:cs="Arial"/>
                <w:b/>
                <w:bCs/>
              </w:rPr>
              <w:t>Tshwete</w:t>
            </w:r>
            <w:proofErr w:type="spellEnd"/>
            <w:r w:rsidRPr="007C2BAF">
              <w:rPr>
                <w:rFonts w:ascii="Arial" w:eastAsia="Calibri" w:hAnsi="Arial" w:cs="Arial"/>
                <w:b/>
                <w:bCs/>
              </w:rPr>
              <w:t xml:space="preserve"> LM</w:t>
            </w:r>
          </w:p>
        </w:tc>
        <w:tc>
          <w:tcPr>
            <w:tcW w:w="1418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R145 mil</w:t>
            </w:r>
          </w:p>
        </w:tc>
        <w:tc>
          <w:tcPr>
            <w:tcW w:w="1554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R35 mil</w:t>
            </w:r>
          </w:p>
        </w:tc>
        <w:tc>
          <w:tcPr>
            <w:tcW w:w="1619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R100 mil</w:t>
            </w:r>
          </w:p>
        </w:tc>
        <w:tc>
          <w:tcPr>
            <w:tcW w:w="1619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R12 mil</w:t>
            </w:r>
          </w:p>
        </w:tc>
      </w:tr>
      <w:tr w:rsidR="00A418A3" w:rsidTr="007C2BAF">
        <w:tc>
          <w:tcPr>
            <w:tcW w:w="2110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7C2BAF">
              <w:rPr>
                <w:rFonts w:ascii="Arial" w:eastAsia="Calibri" w:hAnsi="Arial" w:cs="Arial"/>
                <w:b/>
                <w:bCs/>
              </w:rPr>
              <w:t>Emalahleni</w:t>
            </w:r>
            <w:proofErr w:type="spellEnd"/>
            <w:r w:rsidRPr="007C2BAF">
              <w:rPr>
                <w:rFonts w:ascii="Arial" w:eastAsia="Calibri" w:hAnsi="Arial" w:cs="Arial"/>
                <w:b/>
                <w:bCs/>
              </w:rPr>
              <w:t xml:space="preserve"> LM</w:t>
            </w:r>
          </w:p>
        </w:tc>
        <w:tc>
          <w:tcPr>
            <w:tcW w:w="1418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4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R15 mil</w:t>
            </w:r>
          </w:p>
        </w:tc>
        <w:tc>
          <w:tcPr>
            <w:tcW w:w="1619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R1.5 mil</w:t>
            </w:r>
          </w:p>
        </w:tc>
        <w:tc>
          <w:tcPr>
            <w:tcW w:w="1619" w:type="dxa"/>
          </w:tcPr>
          <w:p w:rsidR="00A418A3" w:rsidRPr="007C2BAF" w:rsidRDefault="00A418A3" w:rsidP="00A418A3">
            <w:pPr>
              <w:pStyle w:val="ListParagraph"/>
              <w:tabs>
                <w:tab w:val="left" w:pos="540"/>
                <w:tab w:val="left" w:pos="709"/>
              </w:tabs>
              <w:ind w:left="0"/>
              <w:jc w:val="both"/>
              <w:rPr>
                <w:rFonts w:ascii="Arial" w:eastAsia="Calibri" w:hAnsi="Arial" w:cs="Arial"/>
              </w:rPr>
            </w:pPr>
            <w:r w:rsidRPr="007C2BAF">
              <w:rPr>
                <w:rFonts w:ascii="Arial" w:eastAsia="Calibri" w:hAnsi="Arial" w:cs="Arial"/>
              </w:rPr>
              <w:t>R15 mil</w:t>
            </w:r>
          </w:p>
        </w:tc>
      </w:tr>
    </w:tbl>
    <w:p w:rsidR="00A418A3" w:rsidRPr="007C2BAF" w:rsidRDefault="00A418A3" w:rsidP="007C2BAF">
      <w:pPr>
        <w:tabs>
          <w:tab w:val="left" w:pos="540"/>
          <w:tab w:val="left" w:pos="709"/>
        </w:tabs>
        <w:jc w:val="both"/>
        <w:rPr>
          <w:rFonts w:ascii="Arial" w:eastAsia="Calibri" w:hAnsi="Arial" w:cs="Arial"/>
        </w:rPr>
      </w:pPr>
    </w:p>
    <w:p w:rsidR="00C31915" w:rsidRPr="007C2BAF" w:rsidRDefault="009378FA" w:rsidP="007C2BAF">
      <w:pPr>
        <w:pStyle w:val="ListParagraph"/>
        <w:tabs>
          <w:tab w:val="left" w:pos="540"/>
          <w:tab w:val="left" w:pos="709"/>
        </w:tabs>
        <w:ind w:left="142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GB"/>
        </w:rPr>
        <w:t xml:space="preserve"> </w:t>
      </w:r>
    </w:p>
    <w:p w:rsidR="00361A62" w:rsidRPr="00814008" w:rsidRDefault="00361A62" w:rsidP="00FE4066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814008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361A62" w:rsidRPr="009D42F1" w:rsidRDefault="00361A62" w:rsidP="007C2BAF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12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AC" w:rsidRDefault="001960AC" w:rsidP="00B425C7">
      <w:r>
        <w:separator/>
      </w:r>
    </w:p>
  </w:endnote>
  <w:endnote w:type="continuationSeparator" w:id="0">
    <w:p w:rsidR="001960AC" w:rsidRDefault="001960A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86A2D">
      <w:rPr>
        <w:rFonts w:ascii="Arial" w:hAnsi="Arial" w:cs="Arial"/>
        <w:sz w:val="16"/>
        <w:szCs w:val="16"/>
      </w:rPr>
      <w:t>1167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E444E6">
      <w:rPr>
        <w:rFonts w:ascii="Arial" w:hAnsi="Arial" w:cs="Arial"/>
        <w:sz w:val="16"/>
        <w:szCs w:val="16"/>
      </w:rPr>
      <w:t>1</w:t>
    </w:r>
    <w:r w:rsidR="00686A2D">
      <w:rPr>
        <w:rFonts w:ascii="Arial" w:hAnsi="Arial" w:cs="Arial"/>
        <w:sz w:val="16"/>
        <w:szCs w:val="16"/>
      </w:rPr>
      <w:t>308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AC" w:rsidRDefault="001960AC" w:rsidP="00B425C7">
      <w:r>
        <w:separator/>
      </w:r>
    </w:p>
  </w:footnote>
  <w:footnote w:type="continuationSeparator" w:id="0">
    <w:p w:rsidR="001960AC" w:rsidRDefault="001960A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14F88"/>
    <w:multiLevelType w:val="hybridMultilevel"/>
    <w:tmpl w:val="6F7C593E"/>
    <w:lvl w:ilvl="0" w:tplc="67CC730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740C00"/>
    <w:multiLevelType w:val="hybridMultilevel"/>
    <w:tmpl w:val="FD78B22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0A72D4"/>
    <w:multiLevelType w:val="hybridMultilevel"/>
    <w:tmpl w:val="0136DA42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535578F"/>
    <w:multiLevelType w:val="hybridMultilevel"/>
    <w:tmpl w:val="9F6466AC"/>
    <w:lvl w:ilvl="0" w:tplc="E4425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C18A0"/>
    <w:multiLevelType w:val="hybridMultilevel"/>
    <w:tmpl w:val="5290C0D4"/>
    <w:lvl w:ilvl="0" w:tplc="85A455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175600"/>
    <w:multiLevelType w:val="hybridMultilevel"/>
    <w:tmpl w:val="FC04B4F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7"/>
  </w:num>
  <w:num w:numId="7">
    <w:abstractNumId w:val="13"/>
  </w:num>
  <w:num w:numId="8">
    <w:abstractNumId w:val="20"/>
  </w:num>
  <w:num w:numId="9">
    <w:abstractNumId w:val="5"/>
  </w:num>
  <w:num w:numId="10">
    <w:abstractNumId w:val="14"/>
  </w:num>
  <w:num w:numId="11">
    <w:abstractNumId w:val="16"/>
  </w:num>
  <w:num w:numId="12">
    <w:abstractNumId w:val="3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8"/>
  </w:num>
  <w:num w:numId="18">
    <w:abstractNumId w:val="9"/>
  </w:num>
  <w:num w:numId="19">
    <w:abstractNumId w:val="6"/>
  </w:num>
  <w:num w:numId="20">
    <w:abstractNumId w:val="10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0B0D"/>
    <w:rsid w:val="00030DFB"/>
    <w:rsid w:val="00036748"/>
    <w:rsid w:val="0004074C"/>
    <w:rsid w:val="000446F4"/>
    <w:rsid w:val="000736ED"/>
    <w:rsid w:val="00074524"/>
    <w:rsid w:val="000831BB"/>
    <w:rsid w:val="000C5E0E"/>
    <w:rsid w:val="000E6B42"/>
    <w:rsid w:val="001001A2"/>
    <w:rsid w:val="001033FE"/>
    <w:rsid w:val="00122733"/>
    <w:rsid w:val="00144F0F"/>
    <w:rsid w:val="001502EB"/>
    <w:rsid w:val="00157F05"/>
    <w:rsid w:val="001812CC"/>
    <w:rsid w:val="00181796"/>
    <w:rsid w:val="001823A8"/>
    <w:rsid w:val="00183C80"/>
    <w:rsid w:val="001960AC"/>
    <w:rsid w:val="001B35A3"/>
    <w:rsid w:val="001B7A43"/>
    <w:rsid w:val="001D558B"/>
    <w:rsid w:val="001E51B8"/>
    <w:rsid w:val="001E641B"/>
    <w:rsid w:val="001E7D69"/>
    <w:rsid w:val="001F2193"/>
    <w:rsid w:val="001F5603"/>
    <w:rsid w:val="001F5C4A"/>
    <w:rsid w:val="00214BAB"/>
    <w:rsid w:val="002150F3"/>
    <w:rsid w:val="00220C7A"/>
    <w:rsid w:val="00230C75"/>
    <w:rsid w:val="002411EA"/>
    <w:rsid w:val="002452F1"/>
    <w:rsid w:val="0025254A"/>
    <w:rsid w:val="00252C1E"/>
    <w:rsid w:val="002632E2"/>
    <w:rsid w:val="002811A8"/>
    <w:rsid w:val="00296766"/>
    <w:rsid w:val="002A33D7"/>
    <w:rsid w:val="002A49D6"/>
    <w:rsid w:val="002A5A68"/>
    <w:rsid w:val="002B0502"/>
    <w:rsid w:val="002B2881"/>
    <w:rsid w:val="002E0E61"/>
    <w:rsid w:val="002E28C0"/>
    <w:rsid w:val="002E6E62"/>
    <w:rsid w:val="002F5876"/>
    <w:rsid w:val="003076B5"/>
    <w:rsid w:val="00310B34"/>
    <w:rsid w:val="00320428"/>
    <w:rsid w:val="00321013"/>
    <w:rsid w:val="00331137"/>
    <w:rsid w:val="00336352"/>
    <w:rsid w:val="00355F52"/>
    <w:rsid w:val="00361A62"/>
    <w:rsid w:val="003637EE"/>
    <w:rsid w:val="00364F22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406A92"/>
    <w:rsid w:val="00426F76"/>
    <w:rsid w:val="00452B74"/>
    <w:rsid w:val="00463242"/>
    <w:rsid w:val="0046432D"/>
    <w:rsid w:val="00466EAD"/>
    <w:rsid w:val="00474C67"/>
    <w:rsid w:val="00481D62"/>
    <w:rsid w:val="00496665"/>
    <w:rsid w:val="004F4569"/>
    <w:rsid w:val="004F49A4"/>
    <w:rsid w:val="005102FA"/>
    <w:rsid w:val="0051142D"/>
    <w:rsid w:val="00521AE7"/>
    <w:rsid w:val="005233A0"/>
    <w:rsid w:val="005256FF"/>
    <w:rsid w:val="005342A5"/>
    <w:rsid w:val="005365C9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36E2"/>
    <w:rsid w:val="005D2DE2"/>
    <w:rsid w:val="005D6EA2"/>
    <w:rsid w:val="005E56E4"/>
    <w:rsid w:val="005F0147"/>
    <w:rsid w:val="0060013B"/>
    <w:rsid w:val="00602DEC"/>
    <w:rsid w:val="006039D7"/>
    <w:rsid w:val="00616F5C"/>
    <w:rsid w:val="00620D7D"/>
    <w:rsid w:val="006224CD"/>
    <w:rsid w:val="00637DE0"/>
    <w:rsid w:val="00640E03"/>
    <w:rsid w:val="0064231A"/>
    <w:rsid w:val="00654995"/>
    <w:rsid w:val="00655ACE"/>
    <w:rsid w:val="00656F1C"/>
    <w:rsid w:val="00663F2F"/>
    <w:rsid w:val="00677266"/>
    <w:rsid w:val="00686A2D"/>
    <w:rsid w:val="006930CF"/>
    <w:rsid w:val="00694823"/>
    <w:rsid w:val="006B3D5A"/>
    <w:rsid w:val="006C6246"/>
    <w:rsid w:val="006D12FA"/>
    <w:rsid w:val="006D2BE4"/>
    <w:rsid w:val="006D3E6B"/>
    <w:rsid w:val="006D467A"/>
    <w:rsid w:val="006E5263"/>
    <w:rsid w:val="006E63DA"/>
    <w:rsid w:val="006F2C6E"/>
    <w:rsid w:val="0070388C"/>
    <w:rsid w:val="0070599A"/>
    <w:rsid w:val="00710550"/>
    <w:rsid w:val="0071106A"/>
    <w:rsid w:val="00714546"/>
    <w:rsid w:val="00714C9C"/>
    <w:rsid w:val="007245BB"/>
    <w:rsid w:val="00730FF0"/>
    <w:rsid w:val="0073119E"/>
    <w:rsid w:val="00735132"/>
    <w:rsid w:val="00747B01"/>
    <w:rsid w:val="0075396C"/>
    <w:rsid w:val="007542EA"/>
    <w:rsid w:val="007736B5"/>
    <w:rsid w:val="007926F9"/>
    <w:rsid w:val="00793FDD"/>
    <w:rsid w:val="007B141E"/>
    <w:rsid w:val="007B57F0"/>
    <w:rsid w:val="007B59D9"/>
    <w:rsid w:val="007B5F00"/>
    <w:rsid w:val="007B7671"/>
    <w:rsid w:val="007C2BAF"/>
    <w:rsid w:val="007C3899"/>
    <w:rsid w:val="007D3043"/>
    <w:rsid w:val="007D3311"/>
    <w:rsid w:val="007E116C"/>
    <w:rsid w:val="007E12DD"/>
    <w:rsid w:val="007E49F2"/>
    <w:rsid w:val="00800190"/>
    <w:rsid w:val="008113F4"/>
    <w:rsid w:val="00814008"/>
    <w:rsid w:val="008179CA"/>
    <w:rsid w:val="00827C48"/>
    <w:rsid w:val="00831CF8"/>
    <w:rsid w:val="00832A58"/>
    <w:rsid w:val="0083385D"/>
    <w:rsid w:val="00835C12"/>
    <w:rsid w:val="00836FD3"/>
    <w:rsid w:val="00843A93"/>
    <w:rsid w:val="00853A3E"/>
    <w:rsid w:val="0085525E"/>
    <w:rsid w:val="0085743E"/>
    <w:rsid w:val="0085771A"/>
    <w:rsid w:val="00870FDE"/>
    <w:rsid w:val="008732AD"/>
    <w:rsid w:val="008740F6"/>
    <w:rsid w:val="00894B01"/>
    <w:rsid w:val="008C5C6B"/>
    <w:rsid w:val="008D06B0"/>
    <w:rsid w:val="008D7EBE"/>
    <w:rsid w:val="008E3EF2"/>
    <w:rsid w:val="008F6257"/>
    <w:rsid w:val="009004CE"/>
    <w:rsid w:val="009031A0"/>
    <w:rsid w:val="009069A2"/>
    <w:rsid w:val="009102B8"/>
    <w:rsid w:val="00921143"/>
    <w:rsid w:val="009378FA"/>
    <w:rsid w:val="009477CC"/>
    <w:rsid w:val="00952387"/>
    <w:rsid w:val="00952E1B"/>
    <w:rsid w:val="00960C1A"/>
    <w:rsid w:val="00963A60"/>
    <w:rsid w:val="00970119"/>
    <w:rsid w:val="0097260B"/>
    <w:rsid w:val="00975514"/>
    <w:rsid w:val="00983286"/>
    <w:rsid w:val="00990959"/>
    <w:rsid w:val="00995E13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36AFB"/>
    <w:rsid w:val="00A418A3"/>
    <w:rsid w:val="00A50411"/>
    <w:rsid w:val="00A52C84"/>
    <w:rsid w:val="00A5476E"/>
    <w:rsid w:val="00A56300"/>
    <w:rsid w:val="00A67AC8"/>
    <w:rsid w:val="00A727AC"/>
    <w:rsid w:val="00A73ED2"/>
    <w:rsid w:val="00A75EB5"/>
    <w:rsid w:val="00A81DEA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2DCB"/>
    <w:rsid w:val="00B24AAE"/>
    <w:rsid w:val="00B30B1F"/>
    <w:rsid w:val="00B33052"/>
    <w:rsid w:val="00B425C7"/>
    <w:rsid w:val="00B439E2"/>
    <w:rsid w:val="00B45EDD"/>
    <w:rsid w:val="00B52304"/>
    <w:rsid w:val="00B61DEA"/>
    <w:rsid w:val="00B64073"/>
    <w:rsid w:val="00B707D5"/>
    <w:rsid w:val="00B80014"/>
    <w:rsid w:val="00B84896"/>
    <w:rsid w:val="00B84ACE"/>
    <w:rsid w:val="00B93867"/>
    <w:rsid w:val="00BA3CEF"/>
    <w:rsid w:val="00BA5F38"/>
    <w:rsid w:val="00BB57E3"/>
    <w:rsid w:val="00BC792D"/>
    <w:rsid w:val="00BE4F5E"/>
    <w:rsid w:val="00C1034B"/>
    <w:rsid w:val="00C10852"/>
    <w:rsid w:val="00C110A3"/>
    <w:rsid w:val="00C31915"/>
    <w:rsid w:val="00C36A1F"/>
    <w:rsid w:val="00C45B63"/>
    <w:rsid w:val="00C51CB6"/>
    <w:rsid w:val="00C6195D"/>
    <w:rsid w:val="00C638AA"/>
    <w:rsid w:val="00C66E23"/>
    <w:rsid w:val="00C71DBB"/>
    <w:rsid w:val="00C73E91"/>
    <w:rsid w:val="00C80A4E"/>
    <w:rsid w:val="00C90123"/>
    <w:rsid w:val="00C91683"/>
    <w:rsid w:val="00CA591D"/>
    <w:rsid w:val="00CA5956"/>
    <w:rsid w:val="00CB23A0"/>
    <w:rsid w:val="00CB48F6"/>
    <w:rsid w:val="00CD1540"/>
    <w:rsid w:val="00CD3258"/>
    <w:rsid w:val="00CF1186"/>
    <w:rsid w:val="00D014F9"/>
    <w:rsid w:val="00D03FF3"/>
    <w:rsid w:val="00D15200"/>
    <w:rsid w:val="00D40932"/>
    <w:rsid w:val="00D4312A"/>
    <w:rsid w:val="00D4621C"/>
    <w:rsid w:val="00D54604"/>
    <w:rsid w:val="00D67D57"/>
    <w:rsid w:val="00D7018D"/>
    <w:rsid w:val="00D76544"/>
    <w:rsid w:val="00D76864"/>
    <w:rsid w:val="00D772B0"/>
    <w:rsid w:val="00D832BB"/>
    <w:rsid w:val="00D86FA6"/>
    <w:rsid w:val="00D913AF"/>
    <w:rsid w:val="00D92222"/>
    <w:rsid w:val="00D9521B"/>
    <w:rsid w:val="00DA0702"/>
    <w:rsid w:val="00DB6146"/>
    <w:rsid w:val="00DC1C19"/>
    <w:rsid w:val="00DC3527"/>
    <w:rsid w:val="00DC5111"/>
    <w:rsid w:val="00DD6CB9"/>
    <w:rsid w:val="00DE5A13"/>
    <w:rsid w:val="00DF44C4"/>
    <w:rsid w:val="00DF695A"/>
    <w:rsid w:val="00DF769D"/>
    <w:rsid w:val="00E03D7B"/>
    <w:rsid w:val="00E06C3F"/>
    <w:rsid w:val="00E134E2"/>
    <w:rsid w:val="00E22831"/>
    <w:rsid w:val="00E34BD8"/>
    <w:rsid w:val="00E444E6"/>
    <w:rsid w:val="00E44929"/>
    <w:rsid w:val="00E4707B"/>
    <w:rsid w:val="00E510DA"/>
    <w:rsid w:val="00E6082E"/>
    <w:rsid w:val="00E643F9"/>
    <w:rsid w:val="00E67003"/>
    <w:rsid w:val="00E810D1"/>
    <w:rsid w:val="00E83C4E"/>
    <w:rsid w:val="00E91FEE"/>
    <w:rsid w:val="00E928E5"/>
    <w:rsid w:val="00EA562C"/>
    <w:rsid w:val="00EC558A"/>
    <w:rsid w:val="00EC7706"/>
    <w:rsid w:val="00ED3122"/>
    <w:rsid w:val="00EE1640"/>
    <w:rsid w:val="00EE2A70"/>
    <w:rsid w:val="00EE6969"/>
    <w:rsid w:val="00F26136"/>
    <w:rsid w:val="00F32449"/>
    <w:rsid w:val="00F40180"/>
    <w:rsid w:val="00F40190"/>
    <w:rsid w:val="00F42569"/>
    <w:rsid w:val="00F445F4"/>
    <w:rsid w:val="00F45143"/>
    <w:rsid w:val="00F64592"/>
    <w:rsid w:val="00F70BD2"/>
    <w:rsid w:val="00F7567C"/>
    <w:rsid w:val="00F76F04"/>
    <w:rsid w:val="00F81B5D"/>
    <w:rsid w:val="00F84834"/>
    <w:rsid w:val="00F878DC"/>
    <w:rsid w:val="00F95114"/>
    <w:rsid w:val="00F96274"/>
    <w:rsid w:val="00F97703"/>
    <w:rsid w:val="00FA4F1A"/>
    <w:rsid w:val="00FB2389"/>
    <w:rsid w:val="00FB72F7"/>
    <w:rsid w:val="00FC4BA6"/>
    <w:rsid w:val="00FC604D"/>
    <w:rsid w:val="00FD6E52"/>
    <w:rsid w:val="00FE0375"/>
    <w:rsid w:val="00FE4066"/>
    <w:rsid w:val="00FE6448"/>
    <w:rsid w:val="00FF113D"/>
    <w:rsid w:val="00FF1B4A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8EEBE533A64189F3B04ABD51BDC7" ma:contentTypeVersion="15" ma:contentTypeDescription="Create a new document." ma:contentTypeScope="" ma:versionID="ff8e99299f341a52f6b73747783633c4">
  <xsd:schema xmlns:xsd="http://www.w3.org/2001/XMLSchema" xmlns:xs="http://www.w3.org/2001/XMLSchema" xmlns:p="http://schemas.microsoft.com/office/2006/metadata/properties" xmlns:ns3="6e518a07-667d-4e8d-9da4-cc02ce33265e" xmlns:ns4="eb94c176-c764-4c28-8551-f7d930188c37" targetNamespace="http://schemas.microsoft.com/office/2006/metadata/properties" ma:root="true" ma:fieldsID="1a4407e75effead1e352de981327bae4" ns3:_="" ns4:_="">
    <xsd:import namespace="6e518a07-667d-4e8d-9da4-cc02ce33265e"/>
    <xsd:import namespace="eb94c176-c764-4c28-8551-f7d930188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a07-667d-4e8d-9da4-cc02ce33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c176-c764-4c28-8551-f7d93018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4c176-c764-4c28-8551-f7d930188c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03A2-A480-4698-94C3-6765093C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a07-667d-4e8d-9da4-cc02ce33265e"/>
    <ds:schemaRef ds:uri="eb94c176-c764-4c28-8551-f7d93018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A2E8A-07F9-4635-B9A2-C42B8734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B6AA4-16F8-4163-AEBC-B7C8A07595AB}">
  <ds:schemaRefs>
    <ds:schemaRef ds:uri="http://schemas.microsoft.com/office/2006/metadata/properties"/>
    <ds:schemaRef ds:uri="http://schemas.microsoft.com/office/infopath/2007/PartnerControls"/>
    <ds:schemaRef ds:uri="eb94c176-c764-4c28-8551-f7d930188c37"/>
  </ds:schemaRefs>
</ds:datastoreItem>
</file>

<file path=customXml/itemProps4.xml><?xml version="1.0" encoding="utf-8"?>
<ds:datastoreItem xmlns:ds="http://schemas.openxmlformats.org/officeDocument/2006/customXml" ds:itemID="{B12DD75A-2D12-477F-8CE0-31AE1D11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2023-04-03T14:40:00Z</cp:lastPrinted>
  <dcterms:created xsi:type="dcterms:W3CDTF">2023-05-04T12:27:00Z</dcterms:created>
  <dcterms:modified xsi:type="dcterms:W3CDTF">2023-05-04T12:27:00Z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0x010100F6248EEBE533A64189F3B04ABD51BDC7</vt:lpwstr>
  </property>
</Properties>
</file>