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7E72F1"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90482096"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EB6880" w:rsidRPr="00EB6880" w:rsidRDefault="00EB6880" w:rsidP="00EB6880">
      <w:pPr>
        <w:spacing w:before="100" w:beforeAutospacing="1" w:after="100" w:afterAutospacing="1"/>
        <w:ind w:left="720" w:hanging="720"/>
        <w:jc w:val="both"/>
        <w:outlineLvl w:val="0"/>
        <w:rPr>
          <w:rFonts w:ascii="Arial" w:hAnsi="Arial" w:cs="Arial"/>
          <w:b/>
        </w:rPr>
      </w:pPr>
      <w:r w:rsidRPr="00EB6880">
        <w:rPr>
          <w:rFonts w:ascii="Arial" w:hAnsi="Arial" w:cs="Arial"/>
          <w:b/>
        </w:rPr>
        <w:t>1154.</w:t>
      </w:r>
      <w:r w:rsidRPr="00EB6880">
        <w:rPr>
          <w:rFonts w:ascii="Arial" w:hAnsi="Arial" w:cs="Arial"/>
          <w:b/>
        </w:rPr>
        <w:tab/>
        <w:t>Mr S J F Marais (DA) to ask Minister of Defence and Military Veterans:</w:t>
      </w:r>
    </w:p>
    <w:p w:rsidR="00EB6880" w:rsidRPr="00EB6880" w:rsidRDefault="00EB6880" w:rsidP="00EB6880">
      <w:pPr>
        <w:tabs>
          <w:tab w:val="left" w:pos="432"/>
          <w:tab w:val="left" w:pos="720"/>
        </w:tabs>
        <w:spacing w:before="100" w:beforeAutospacing="1" w:after="100" w:afterAutospacing="1"/>
        <w:ind w:left="1440" w:hanging="720"/>
        <w:jc w:val="both"/>
        <w:rPr>
          <w:rFonts w:ascii="Arial" w:hAnsi="Arial" w:cs="Arial"/>
        </w:rPr>
      </w:pPr>
      <w:r w:rsidRPr="00EB6880">
        <w:rPr>
          <w:rFonts w:ascii="Arial" w:hAnsi="Arial" w:cs="Arial"/>
        </w:rPr>
        <w:t>(1)</w:t>
      </w:r>
      <w:r w:rsidRPr="00EB6880">
        <w:rPr>
          <w:rFonts w:ascii="Arial" w:hAnsi="Arial" w:cs="Arial"/>
        </w:rPr>
        <w:tab/>
        <w:t>What are the details of the breakdown of the allocation of the (a) R127 Million budgeted for the extension of the employment of 200 members of the SA National Defence Force (SANDF) in order to deter piracy in the Mozambique Channel and (b) R918 242 921 budgeted for the extension of the employment of 1170 members of the SANDF to participate in the United Nations Organisation Stabilisation Mission in the Democratic Republic of the Congo (MONUSCO) as part of the Force Intervention Brigade in the Democratic Republic of Congo;</w:t>
      </w:r>
    </w:p>
    <w:p w:rsidR="00EB6880" w:rsidRPr="00EB6880" w:rsidRDefault="00EB6880" w:rsidP="00EB6880">
      <w:pPr>
        <w:tabs>
          <w:tab w:val="left" w:pos="432"/>
          <w:tab w:val="left" w:pos="720"/>
        </w:tabs>
        <w:spacing w:before="100" w:beforeAutospacing="1" w:after="100" w:afterAutospacing="1"/>
        <w:ind w:left="1440" w:hanging="720"/>
        <w:jc w:val="both"/>
        <w:rPr>
          <w:rFonts w:ascii="Arial" w:hAnsi="Arial" w:cs="Arial"/>
        </w:rPr>
      </w:pPr>
      <w:r w:rsidRPr="00EB6880">
        <w:rPr>
          <w:rFonts w:ascii="Arial" w:hAnsi="Arial" w:cs="Arial"/>
        </w:rPr>
        <w:t>(2)</w:t>
      </w:r>
      <w:r w:rsidRPr="00EB6880">
        <w:rPr>
          <w:rFonts w:ascii="Arial" w:hAnsi="Arial" w:cs="Arial"/>
        </w:rPr>
        <w:tab/>
        <w:t>(a) what are the details of the total amount (</w:t>
      </w:r>
      <w:proofErr w:type="spellStart"/>
      <w:r w:rsidRPr="00EB6880">
        <w:rPr>
          <w:rFonts w:ascii="Arial" w:hAnsi="Arial" w:cs="Arial"/>
        </w:rPr>
        <w:t>i</w:t>
      </w:r>
      <w:proofErr w:type="spellEnd"/>
      <w:r w:rsidRPr="00EB6880">
        <w:rPr>
          <w:rFonts w:ascii="Arial" w:hAnsi="Arial" w:cs="Arial"/>
        </w:rPr>
        <w:t>) which could have been received annually as reimbursement for participation in MONUSCO, (ii) actually received annually from the United Nations as reimbursement and (iii) of potential reimbursements which were forfeited annually by South Africa and (b) what are the reasons for such forfeiture?</w:t>
      </w:r>
      <w:r w:rsidRPr="00EB6880">
        <w:rPr>
          <w:rFonts w:ascii="Arial" w:hAnsi="Arial" w:cs="Arial"/>
        </w:rPr>
        <w:tab/>
      </w:r>
      <w:r w:rsidRPr="00EB6880">
        <w:rPr>
          <w:rFonts w:ascii="Arial" w:hAnsi="Arial" w:cs="Arial"/>
        </w:rPr>
        <w:tab/>
      </w:r>
      <w:r w:rsidRPr="00EB6880">
        <w:rPr>
          <w:rFonts w:ascii="Arial" w:hAnsi="Arial" w:cs="Arial"/>
        </w:rPr>
        <w:tab/>
      </w:r>
      <w:r w:rsidRPr="00EB6880">
        <w:rPr>
          <w:rFonts w:ascii="Arial" w:hAnsi="Arial" w:cs="Arial"/>
        </w:rPr>
        <w:tab/>
      </w:r>
      <w:r w:rsidRPr="00EB6880">
        <w:rPr>
          <w:rFonts w:ascii="Arial" w:hAnsi="Arial" w:cs="Arial"/>
          <w:sz w:val="20"/>
        </w:rPr>
        <w:t>NW1248E</w:t>
      </w:r>
    </w:p>
    <w:p w:rsidR="00EE6BBC" w:rsidRDefault="00EE6BBC" w:rsidP="00EE6BBC">
      <w:pPr>
        <w:spacing w:line="480" w:lineRule="auto"/>
        <w:jc w:val="both"/>
        <w:rPr>
          <w:rFonts w:ascii="Arial" w:hAnsi="Arial" w:cs="Arial"/>
          <w:b/>
          <w:u w:val="single"/>
        </w:rPr>
      </w:pPr>
      <w:r w:rsidRPr="00BD3CA1">
        <w:rPr>
          <w:rFonts w:ascii="Arial" w:hAnsi="Arial" w:cs="Arial"/>
          <w:b/>
          <w:u w:val="single"/>
        </w:rPr>
        <w:t>REPLY</w:t>
      </w:r>
      <w:r>
        <w:rPr>
          <w:rFonts w:ascii="Arial" w:hAnsi="Arial" w:cs="Arial"/>
          <w:b/>
          <w:u w:val="single"/>
        </w:rPr>
        <w:t>:</w:t>
      </w:r>
    </w:p>
    <w:p w:rsidR="00EE6BBC" w:rsidRPr="00BD3CA1" w:rsidRDefault="00EE6BBC" w:rsidP="00EE6BBC">
      <w:pPr>
        <w:spacing w:line="480" w:lineRule="auto"/>
        <w:jc w:val="both"/>
        <w:rPr>
          <w:rFonts w:ascii="Arial" w:hAnsi="Arial" w:cs="Arial"/>
          <w:b/>
        </w:rPr>
      </w:pPr>
      <w:r>
        <w:rPr>
          <w:rFonts w:ascii="Arial" w:hAnsi="Arial" w:cs="Arial"/>
          <w:b/>
          <w:u w:val="single"/>
        </w:rPr>
        <w:t>QUESTION 1</w:t>
      </w:r>
    </w:p>
    <w:p w:rsidR="00EE6BBC" w:rsidRDefault="00EE6BBC" w:rsidP="00EE6BBC">
      <w:pPr>
        <w:spacing w:line="480" w:lineRule="auto"/>
        <w:jc w:val="both"/>
        <w:rPr>
          <w:rFonts w:ascii="Arial" w:hAnsi="Arial" w:cs="Arial"/>
        </w:rPr>
      </w:pPr>
      <w:r>
        <w:rPr>
          <w:rFonts w:ascii="Arial" w:hAnsi="Arial" w:cs="Arial"/>
        </w:rPr>
        <w:t xml:space="preserve">Rm 127 was allocated to conduct Anti-piracy in the Mozambican Channel as Op COPPER. Of the Rm 127 that was allocated, R74 130 523 was reallocated </w:t>
      </w:r>
      <w:r>
        <w:rPr>
          <w:rFonts w:ascii="Arial" w:hAnsi="Arial" w:cs="Arial"/>
        </w:rPr>
        <w:lastRenderedPageBreak/>
        <w:t xml:space="preserve">within the </w:t>
      </w:r>
      <w:proofErr w:type="gramStart"/>
      <w:r>
        <w:rPr>
          <w:rFonts w:ascii="Arial" w:hAnsi="Arial" w:cs="Arial"/>
        </w:rPr>
        <w:t>DoD</w:t>
      </w:r>
      <w:proofErr w:type="gramEnd"/>
      <w:r>
        <w:rPr>
          <w:rFonts w:ascii="Arial" w:hAnsi="Arial" w:cs="Arial"/>
        </w:rPr>
        <w:t xml:space="preserve"> due to budget cuts, thus leaving the Operation with R52 869 477 and the breakdown is as follows:</w:t>
      </w:r>
    </w:p>
    <w:p w:rsidR="00EE6BBC" w:rsidRDefault="00EE6BBC" w:rsidP="00EE6BBC">
      <w:pPr>
        <w:spacing w:line="480" w:lineRule="auto"/>
        <w:jc w:val="both"/>
        <w:rPr>
          <w:rFonts w:ascii="Arial" w:hAnsi="Arial" w:cs="Arial"/>
        </w:rPr>
      </w:pPr>
      <w:r>
        <w:rPr>
          <w:rFonts w:ascii="Arial" w:hAnsi="Arial" w:cs="Arial"/>
        </w:rPr>
        <w:tab/>
        <w:t>a.</w:t>
      </w:r>
      <w:r>
        <w:rPr>
          <w:rFonts w:ascii="Arial" w:hAnsi="Arial" w:cs="Arial"/>
        </w:rPr>
        <w:tab/>
        <w:t>Compensation of Employees</w:t>
      </w:r>
      <w:r>
        <w:rPr>
          <w:rFonts w:ascii="Arial" w:hAnsi="Arial" w:cs="Arial"/>
        </w:rPr>
        <w:tab/>
      </w:r>
      <w:r>
        <w:rPr>
          <w:rFonts w:ascii="Arial" w:hAnsi="Arial" w:cs="Arial"/>
        </w:rPr>
        <w:tab/>
        <w:t>R34 898 573</w:t>
      </w:r>
    </w:p>
    <w:p w:rsidR="00EE6BBC" w:rsidRDefault="00EE6BBC" w:rsidP="00EE6BBC">
      <w:pPr>
        <w:spacing w:line="480" w:lineRule="auto"/>
        <w:jc w:val="both"/>
        <w:rPr>
          <w:rFonts w:ascii="Arial" w:hAnsi="Arial" w:cs="Arial"/>
        </w:rPr>
      </w:pP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tab/>
        <w:t>Good and Services</w:t>
      </w:r>
      <w:r>
        <w:rPr>
          <w:rFonts w:ascii="Arial" w:hAnsi="Arial" w:cs="Arial"/>
        </w:rPr>
        <w:tab/>
      </w:r>
      <w:r>
        <w:rPr>
          <w:rFonts w:ascii="Arial" w:hAnsi="Arial" w:cs="Arial"/>
        </w:rPr>
        <w:tab/>
      </w:r>
      <w:r>
        <w:rPr>
          <w:rFonts w:ascii="Arial" w:hAnsi="Arial" w:cs="Arial"/>
        </w:rPr>
        <w:tab/>
      </w:r>
      <w:r>
        <w:rPr>
          <w:rFonts w:ascii="Arial" w:hAnsi="Arial" w:cs="Arial"/>
        </w:rPr>
        <w:tab/>
        <w:t>R17 925 762</w:t>
      </w:r>
    </w:p>
    <w:p w:rsidR="00EE6BBC" w:rsidRDefault="00EE6BBC" w:rsidP="00EE6BBC">
      <w:pPr>
        <w:spacing w:line="480" w:lineRule="auto"/>
        <w:jc w:val="both"/>
        <w:rPr>
          <w:rFonts w:ascii="Arial" w:hAnsi="Arial" w:cs="Arial"/>
        </w:rPr>
      </w:pPr>
      <w:r>
        <w:rPr>
          <w:rFonts w:ascii="Arial" w:hAnsi="Arial" w:cs="Arial"/>
        </w:rPr>
        <w:tab/>
        <w:t>c.</w:t>
      </w:r>
      <w:r>
        <w:rPr>
          <w:rFonts w:ascii="Arial" w:hAnsi="Arial" w:cs="Arial"/>
        </w:rPr>
        <w:tab/>
        <w:t>Machinery and equipment</w:t>
      </w:r>
      <w:r>
        <w:rPr>
          <w:rFonts w:ascii="Arial" w:hAnsi="Arial" w:cs="Arial"/>
        </w:rPr>
        <w:tab/>
      </w:r>
      <w:r>
        <w:rPr>
          <w:rFonts w:ascii="Arial" w:hAnsi="Arial" w:cs="Arial"/>
        </w:rPr>
        <w:tab/>
      </w:r>
      <w:r>
        <w:rPr>
          <w:rFonts w:ascii="Arial" w:hAnsi="Arial" w:cs="Arial"/>
        </w:rPr>
        <w:tab/>
      </w:r>
      <w:r>
        <w:rPr>
          <w:rFonts w:ascii="Arial" w:hAnsi="Arial" w:cs="Arial"/>
          <w:u w:val="single"/>
        </w:rPr>
        <w:t>R      45 142</w:t>
      </w:r>
    </w:p>
    <w:p w:rsidR="00EE6BBC" w:rsidRDefault="00EE6BBC" w:rsidP="00EE6BBC">
      <w:pPr>
        <w:spacing w:line="480" w:lineRule="auto"/>
        <w:jc w:val="both"/>
        <w:rPr>
          <w:rFonts w:ascii="Arial" w:hAnsi="Arial" w:cs="Arial"/>
          <w:b/>
        </w:rPr>
      </w:pPr>
      <w:r w:rsidRPr="00DA428B">
        <w:rPr>
          <w:rFonts w:ascii="Arial" w:hAnsi="Arial" w:cs="Arial"/>
          <w:b/>
        </w:rPr>
        <w:tab/>
      </w:r>
      <w:r w:rsidRPr="00DA428B">
        <w:rPr>
          <w:rFonts w:ascii="Arial" w:hAnsi="Arial" w:cs="Arial"/>
          <w:b/>
        </w:rPr>
        <w:tab/>
        <w:t>TOTAL</w:t>
      </w:r>
      <w:r w:rsidRPr="00DA428B">
        <w:rPr>
          <w:rFonts w:ascii="Arial" w:hAnsi="Arial" w:cs="Arial"/>
          <w:b/>
        </w:rPr>
        <w:tab/>
      </w:r>
      <w:r w:rsidRPr="00DA428B">
        <w:rPr>
          <w:rFonts w:ascii="Arial" w:hAnsi="Arial" w:cs="Arial"/>
          <w:b/>
        </w:rPr>
        <w:tab/>
      </w:r>
      <w:r w:rsidRPr="00DA428B">
        <w:rPr>
          <w:rFonts w:ascii="Arial" w:hAnsi="Arial" w:cs="Arial"/>
          <w:b/>
        </w:rPr>
        <w:tab/>
      </w:r>
      <w:r>
        <w:rPr>
          <w:rFonts w:ascii="Arial" w:hAnsi="Arial" w:cs="Arial"/>
          <w:b/>
        </w:rPr>
        <w:tab/>
      </w:r>
      <w:r w:rsidRPr="00DA428B">
        <w:rPr>
          <w:rFonts w:ascii="Arial" w:hAnsi="Arial" w:cs="Arial"/>
          <w:b/>
        </w:rPr>
        <w:tab/>
        <w:t>R52 869</w:t>
      </w:r>
      <w:r>
        <w:rPr>
          <w:rFonts w:ascii="Arial" w:hAnsi="Arial" w:cs="Arial"/>
          <w:b/>
        </w:rPr>
        <w:t> </w:t>
      </w:r>
      <w:r w:rsidRPr="00DA428B">
        <w:rPr>
          <w:rFonts w:ascii="Arial" w:hAnsi="Arial" w:cs="Arial"/>
          <w:b/>
        </w:rPr>
        <w:t>477</w:t>
      </w:r>
    </w:p>
    <w:p w:rsidR="00EE6BBC" w:rsidRDefault="00EE6BBC" w:rsidP="00EE6BBC">
      <w:pPr>
        <w:spacing w:line="480" w:lineRule="auto"/>
        <w:jc w:val="both"/>
        <w:rPr>
          <w:rFonts w:ascii="Arial" w:hAnsi="Arial" w:cs="Arial"/>
          <w:b/>
        </w:rPr>
      </w:pPr>
    </w:p>
    <w:p w:rsidR="00EE6BBC" w:rsidRPr="005C3ABD" w:rsidRDefault="00EE6BBC" w:rsidP="00EE6BBC">
      <w:pPr>
        <w:spacing w:line="480" w:lineRule="auto"/>
        <w:jc w:val="both"/>
        <w:rPr>
          <w:rFonts w:ascii="Arial" w:hAnsi="Arial" w:cs="Arial"/>
          <w:b/>
        </w:rPr>
      </w:pPr>
      <w:bookmarkStart w:id="0" w:name="_GoBack"/>
      <w:bookmarkEnd w:id="0"/>
      <w:r w:rsidRPr="005C3ABD">
        <w:rPr>
          <w:rFonts w:ascii="Arial" w:hAnsi="Arial" w:cs="Arial"/>
          <w:b/>
        </w:rPr>
        <w:t>QUESTION 2:</w:t>
      </w:r>
    </w:p>
    <w:p w:rsidR="00EE6BBC" w:rsidRDefault="00EE6BBC" w:rsidP="00EE6BBC">
      <w:pPr>
        <w:spacing w:line="480" w:lineRule="auto"/>
        <w:jc w:val="both"/>
        <w:rPr>
          <w:rFonts w:ascii="Arial" w:hAnsi="Arial" w:cs="Arial"/>
        </w:rPr>
      </w:pPr>
      <w:r>
        <w:rPr>
          <w:rFonts w:ascii="Arial" w:hAnsi="Arial" w:cs="Arial"/>
        </w:rPr>
        <w:t>According to the actual reimbursement received versus the expected reimbursement the breakdown is as follows:</w:t>
      </w:r>
    </w:p>
    <w:p w:rsidR="00EE6BBC" w:rsidRDefault="00EE6BBC" w:rsidP="00EE6BBC">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b/>
          <w:u w:val="single"/>
        </w:rPr>
        <w:t>MOU Expected</w:t>
      </w:r>
    </w:p>
    <w:p w:rsidR="00EE6BBC" w:rsidRDefault="00EE6BBC" w:rsidP="00EE6BBC">
      <w:pPr>
        <w:spacing w:line="480" w:lineRule="auto"/>
        <w:jc w:val="both"/>
        <w:rPr>
          <w:rFonts w:ascii="Arial" w:hAnsi="Arial" w:cs="Arial"/>
        </w:rPr>
      </w:pPr>
      <w:r>
        <w:rPr>
          <w:rFonts w:ascii="Arial" w:hAnsi="Arial" w:cs="Arial"/>
        </w:rPr>
        <w:tab/>
        <w:t>a.</w:t>
      </w:r>
      <w:r>
        <w:rPr>
          <w:rFonts w:ascii="Arial" w:hAnsi="Arial" w:cs="Arial"/>
        </w:rPr>
        <w:tab/>
        <w:t>Personnel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 251 656 006</w:t>
      </w:r>
      <w:proofErr w:type="gramStart"/>
      <w:r>
        <w:rPr>
          <w:rFonts w:ascii="Arial" w:hAnsi="Arial" w:cs="Arial"/>
        </w:rPr>
        <w:t>,88</w:t>
      </w:r>
      <w:proofErr w:type="gramEnd"/>
    </w:p>
    <w:p w:rsidR="00EE6BBC" w:rsidRDefault="00EE6BBC" w:rsidP="00EE6BBC">
      <w:pPr>
        <w:spacing w:line="480" w:lineRule="auto"/>
        <w:jc w:val="both"/>
        <w:rPr>
          <w:rFonts w:ascii="Arial" w:hAnsi="Arial" w:cs="Arial"/>
        </w:rPr>
      </w:pPr>
      <w:r>
        <w:rPr>
          <w:rFonts w:ascii="Arial" w:hAnsi="Arial" w:cs="Arial"/>
        </w:rPr>
        <w:tab/>
        <w:t>b.</w:t>
      </w:r>
      <w:r>
        <w:rPr>
          <w:rFonts w:ascii="Arial" w:hAnsi="Arial" w:cs="Arial"/>
        </w:rPr>
        <w:tab/>
        <w:t>Self-sustainment</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R  61</w:t>
      </w:r>
      <w:proofErr w:type="gramEnd"/>
      <w:r>
        <w:rPr>
          <w:rFonts w:ascii="Arial" w:hAnsi="Arial" w:cs="Arial"/>
        </w:rPr>
        <w:t> 104 030,93</w:t>
      </w:r>
    </w:p>
    <w:p w:rsidR="00EE6BBC" w:rsidRPr="00DA428B" w:rsidRDefault="00EE6BBC" w:rsidP="00EE6BBC">
      <w:pPr>
        <w:spacing w:line="480" w:lineRule="auto"/>
        <w:jc w:val="both"/>
        <w:rPr>
          <w:rFonts w:ascii="Arial" w:hAnsi="Arial" w:cs="Arial"/>
        </w:rPr>
      </w:pPr>
      <w:r>
        <w:rPr>
          <w:rFonts w:ascii="Arial" w:hAnsi="Arial" w:cs="Arial"/>
        </w:rPr>
        <w:tab/>
        <w:t>c.</w:t>
      </w:r>
      <w:r>
        <w:rPr>
          <w:rFonts w:ascii="Arial" w:hAnsi="Arial" w:cs="Arial"/>
        </w:rPr>
        <w:tab/>
        <w:t>Main Equipment</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u w:val="single"/>
        </w:rPr>
        <w:t>R  85</w:t>
      </w:r>
      <w:proofErr w:type="gramEnd"/>
      <w:r>
        <w:rPr>
          <w:rFonts w:ascii="Arial" w:hAnsi="Arial" w:cs="Arial"/>
          <w:u w:val="single"/>
        </w:rPr>
        <w:t> 018 126,60</w:t>
      </w:r>
    </w:p>
    <w:p w:rsidR="00EE6BBC" w:rsidRDefault="00EE6BBC" w:rsidP="00EE6BBC">
      <w:pPr>
        <w:pStyle w:val="ListParagraph"/>
        <w:spacing w:line="480" w:lineRule="auto"/>
        <w:ind w:left="0"/>
        <w:rPr>
          <w:rFonts w:ascii="Arial" w:hAnsi="Arial" w:cs="Arial"/>
        </w:rPr>
      </w:pPr>
      <w:r>
        <w:rPr>
          <w:rFonts w:ascii="Arial" w:hAnsi="Arial" w:cs="Arial"/>
        </w:rPr>
        <w:tab/>
      </w:r>
      <w:r>
        <w:rPr>
          <w:rFonts w:ascii="Arial" w:hAnsi="Arial" w:cs="Arial"/>
        </w:rPr>
        <w:tab/>
      </w:r>
      <w:r>
        <w:rPr>
          <w:rFonts w:ascii="Arial" w:hAnsi="Arial" w:cs="Arial"/>
          <w:b/>
        </w:rPr>
        <w:t>Sub-total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R 397 778 164</w:t>
      </w:r>
      <w:proofErr w:type="gramStart"/>
      <w:r>
        <w:rPr>
          <w:rFonts w:ascii="Arial" w:hAnsi="Arial" w:cs="Arial"/>
          <w:b/>
        </w:rPr>
        <w:t>,42</w:t>
      </w:r>
      <w:proofErr w:type="gramEnd"/>
    </w:p>
    <w:p w:rsidR="00EE6BBC" w:rsidRDefault="00EE6BBC" w:rsidP="00EE6BBC">
      <w:pPr>
        <w:pStyle w:val="ListParagraph"/>
        <w:spacing w:line="480" w:lineRule="auto"/>
        <w:ind w:left="0"/>
        <w:rPr>
          <w:rFonts w:ascii="Arial" w:hAnsi="Arial" w:cs="Arial"/>
        </w:rPr>
      </w:pPr>
      <w:r>
        <w:rPr>
          <w:rFonts w:ascii="Arial" w:hAnsi="Arial" w:cs="Arial"/>
        </w:rPr>
        <w:tab/>
        <w:t>d.</w:t>
      </w:r>
      <w:r>
        <w:rPr>
          <w:rFonts w:ascii="Arial" w:hAnsi="Arial" w:cs="Arial"/>
        </w:rPr>
        <w:tab/>
        <w:t>Actual Reimbursement Received</w:t>
      </w:r>
      <w:r>
        <w:rPr>
          <w:rFonts w:ascii="Arial" w:hAnsi="Arial" w:cs="Arial"/>
        </w:rPr>
        <w:tab/>
      </w:r>
      <w:r>
        <w:rPr>
          <w:rFonts w:ascii="Arial" w:hAnsi="Arial" w:cs="Arial"/>
        </w:rPr>
        <w:tab/>
        <w:t>R 232 505 094</w:t>
      </w:r>
      <w:proofErr w:type="gramStart"/>
      <w:r>
        <w:rPr>
          <w:rFonts w:ascii="Arial" w:hAnsi="Arial" w:cs="Arial"/>
        </w:rPr>
        <w:t>,17</w:t>
      </w:r>
      <w:proofErr w:type="gramEnd"/>
    </w:p>
    <w:p w:rsidR="00EE6BBC" w:rsidRDefault="00EE6BBC" w:rsidP="00EE6BBC">
      <w:pPr>
        <w:pStyle w:val="ListParagraph"/>
        <w:spacing w:line="480" w:lineRule="auto"/>
        <w:ind w:left="0"/>
        <w:rPr>
          <w:rFonts w:ascii="Arial" w:hAnsi="Arial" w:cs="Arial"/>
        </w:rPr>
      </w:pPr>
      <w:r>
        <w:rPr>
          <w:rFonts w:ascii="Arial" w:hAnsi="Arial" w:cs="Arial"/>
        </w:rPr>
        <w:tab/>
        <w:t>e.</w:t>
      </w:r>
      <w:r>
        <w:rPr>
          <w:rFonts w:ascii="Arial" w:hAnsi="Arial" w:cs="Arial"/>
        </w:rPr>
        <w:tab/>
        <w:t>Amount still due by UN</w:t>
      </w:r>
      <w:r>
        <w:rPr>
          <w:rFonts w:ascii="Arial" w:hAnsi="Arial" w:cs="Arial"/>
        </w:rPr>
        <w:tab/>
      </w:r>
      <w:r>
        <w:rPr>
          <w:rFonts w:ascii="Arial" w:hAnsi="Arial" w:cs="Arial"/>
        </w:rPr>
        <w:tab/>
      </w:r>
      <w:r>
        <w:rPr>
          <w:rFonts w:ascii="Arial" w:hAnsi="Arial" w:cs="Arial"/>
        </w:rPr>
        <w:tab/>
        <w:t>R 110 606 126</w:t>
      </w:r>
      <w:proofErr w:type="gramStart"/>
      <w:r>
        <w:rPr>
          <w:rFonts w:ascii="Arial" w:hAnsi="Arial" w:cs="Arial"/>
        </w:rPr>
        <w:t>,28</w:t>
      </w:r>
      <w:proofErr w:type="gramEnd"/>
    </w:p>
    <w:p w:rsidR="00EE6BBC" w:rsidRDefault="00EE6BBC" w:rsidP="00EE6BBC">
      <w:pPr>
        <w:pStyle w:val="ListParagraph"/>
        <w:spacing w:line="480" w:lineRule="auto"/>
        <w:ind w:left="0"/>
        <w:rPr>
          <w:rFonts w:ascii="Arial" w:hAnsi="Arial" w:cs="Arial"/>
        </w:rPr>
      </w:pPr>
      <w:r>
        <w:rPr>
          <w:rFonts w:ascii="Arial" w:hAnsi="Arial" w:cs="Arial"/>
        </w:rPr>
        <w:tab/>
        <w:t>f.</w:t>
      </w:r>
      <w:r>
        <w:rPr>
          <w:rFonts w:ascii="Arial" w:hAnsi="Arial" w:cs="Arial"/>
        </w:rPr>
        <w:tab/>
        <w:t>Reimbursement forfeited</w:t>
      </w:r>
      <w:r>
        <w:rPr>
          <w:rFonts w:ascii="Arial" w:hAnsi="Arial" w:cs="Arial"/>
        </w:rPr>
        <w:tab/>
      </w:r>
      <w:r>
        <w:rPr>
          <w:rFonts w:ascii="Arial" w:hAnsi="Arial" w:cs="Arial"/>
        </w:rPr>
        <w:tab/>
      </w:r>
      <w:r>
        <w:rPr>
          <w:rFonts w:ascii="Arial" w:hAnsi="Arial" w:cs="Arial"/>
        </w:rPr>
        <w:tab/>
      </w:r>
      <w:proofErr w:type="gramStart"/>
      <w:r>
        <w:rPr>
          <w:rFonts w:ascii="Arial" w:hAnsi="Arial" w:cs="Arial"/>
        </w:rPr>
        <w:t>R  54</w:t>
      </w:r>
      <w:proofErr w:type="gramEnd"/>
      <w:r>
        <w:rPr>
          <w:rFonts w:ascii="Arial" w:hAnsi="Arial" w:cs="Arial"/>
        </w:rPr>
        <w:t> 666 943,97</w:t>
      </w:r>
    </w:p>
    <w:p w:rsidR="00EE6BBC" w:rsidRPr="00DA428B" w:rsidRDefault="00EE6BBC" w:rsidP="00EE6BBC">
      <w:pPr>
        <w:pStyle w:val="ListParagraph"/>
        <w:spacing w:line="480" w:lineRule="auto"/>
        <w:ind w:left="0"/>
        <w:rPr>
          <w:rFonts w:ascii="Arial" w:hAnsi="Arial" w:cs="Arial"/>
        </w:rPr>
      </w:pPr>
      <w:r>
        <w:rPr>
          <w:rFonts w:ascii="Arial" w:hAnsi="Arial" w:cs="Arial"/>
        </w:rPr>
        <w:t xml:space="preserve">The forfeited reimbursement is due to the unserviceability of the prime mission equipment in the Mission Area. The effects of budget cuts have a negative impact on our operations and the maintenance of prime mission equipment; thus, result in the SANDF not being able to meet the strict UN assessment criteria for re-imbursement. </w:t>
      </w:r>
    </w:p>
    <w:p w:rsidR="0084698C" w:rsidRPr="00253AC0" w:rsidRDefault="0084698C" w:rsidP="005E5C20">
      <w:pPr>
        <w:spacing w:before="100" w:beforeAutospacing="1" w:after="100" w:afterAutospacing="1"/>
        <w:ind w:left="720" w:hanging="720"/>
        <w:jc w:val="both"/>
        <w:outlineLvl w:val="0"/>
        <w:rPr>
          <w:rFonts w:ascii="Arial" w:hAnsi="Arial" w:cs="Arial"/>
          <w:color w:val="000000"/>
          <w:lang w:val="en-ZA" w:eastAsia="en-ZA"/>
        </w:rPr>
      </w:pPr>
    </w:p>
    <w:sectPr w:rsidR="0084698C" w:rsidRPr="00253AC0"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2F1" w:rsidRDefault="007E72F1">
      <w:r>
        <w:separator/>
      </w:r>
    </w:p>
  </w:endnote>
  <w:endnote w:type="continuationSeparator" w:id="0">
    <w:p w:rsidR="007E72F1" w:rsidRDefault="007E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EE6BBC">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2F1" w:rsidRDefault="007E72F1">
      <w:r>
        <w:separator/>
      </w:r>
    </w:p>
  </w:footnote>
  <w:footnote w:type="continuationSeparator" w:id="0">
    <w:p w:rsidR="007E72F1" w:rsidRDefault="007E7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C8E"/>
    <w:rsid w:val="00433D41"/>
    <w:rsid w:val="00440681"/>
    <w:rsid w:val="00445EC0"/>
    <w:rsid w:val="004461E4"/>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817F9"/>
    <w:rsid w:val="00582013"/>
    <w:rsid w:val="0059608D"/>
    <w:rsid w:val="005E0EF3"/>
    <w:rsid w:val="005E5C20"/>
    <w:rsid w:val="005E74A8"/>
    <w:rsid w:val="00600EBB"/>
    <w:rsid w:val="00605E36"/>
    <w:rsid w:val="00607BDA"/>
    <w:rsid w:val="00622759"/>
    <w:rsid w:val="006244B0"/>
    <w:rsid w:val="0063446D"/>
    <w:rsid w:val="00636323"/>
    <w:rsid w:val="00637B4A"/>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95581"/>
    <w:rsid w:val="007B02F6"/>
    <w:rsid w:val="007B5C2B"/>
    <w:rsid w:val="007C01AD"/>
    <w:rsid w:val="007C2F5B"/>
    <w:rsid w:val="007D43D8"/>
    <w:rsid w:val="007D6A5E"/>
    <w:rsid w:val="007E0277"/>
    <w:rsid w:val="007E72F1"/>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83C24"/>
    <w:rsid w:val="008970BA"/>
    <w:rsid w:val="008A2140"/>
    <w:rsid w:val="008A2811"/>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70210"/>
    <w:rsid w:val="00982872"/>
    <w:rsid w:val="00983E65"/>
    <w:rsid w:val="00990A22"/>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AF7832"/>
    <w:rsid w:val="00B10F42"/>
    <w:rsid w:val="00B21CD1"/>
    <w:rsid w:val="00B441E2"/>
    <w:rsid w:val="00B902D5"/>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59F9"/>
    <w:rsid w:val="00D17BFF"/>
    <w:rsid w:val="00D21FF1"/>
    <w:rsid w:val="00D3022F"/>
    <w:rsid w:val="00D5256D"/>
    <w:rsid w:val="00D56AA3"/>
    <w:rsid w:val="00D63040"/>
    <w:rsid w:val="00D860EE"/>
    <w:rsid w:val="00D8623B"/>
    <w:rsid w:val="00D91B96"/>
    <w:rsid w:val="00D94540"/>
    <w:rsid w:val="00D949A8"/>
    <w:rsid w:val="00DA5FC6"/>
    <w:rsid w:val="00DB4354"/>
    <w:rsid w:val="00DB730D"/>
    <w:rsid w:val="00DB7F35"/>
    <w:rsid w:val="00DC533F"/>
    <w:rsid w:val="00DF2BE7"/>
    <w:rsid w:val="00E01778"/>
    <w:rsid w:val="00E06D3E"/>
    <w:rsid w:val="00E21F8D"/>
    <w:rsid w:val="00E3268E"/>
    <w:rsid w:val="00E47C73"/>
    <w:rsid w:val="00E54008"/>
    <w:rsid w:val="00E61ED9"/>
    <w:rsid w:val="00E63010"/>
    <w:rsid w:val="00E63CE1"/>
    <w:rsid w:val="00E77D76"/>
    <w:rsid w:val="00E814A5"/>
    <w:rsid w:val="00E929F4"/>
    <w:rsid w:val="00EA6D25"/>
    <w:rsid w:val="00EA6E98"/>
    <w:rsid w:val="00EB3FCD"/>
    <w:rsid w:val="00EB6880"/>
    <w:rsid w:val="00EC0958"/>
    <w:rsid w:val="00EC1127"/>
    <w:rsid w:val="00EC30A6"/>
    <w:rsid w:val="00EC43CF"/>
    <w:rsid w:val="00EC668D"/>
    <w:rsid w:val="00ED1185"/>
    <w:rsid w:val="00EE2258"/>
    <w:rsid w:val="00EE5E6E"/>
    <w:rsid w:val="00EE6BBC"/>
    <w:rsid w:val="00EF19DF"/>
    <w:rsid w:val="00EF23FF"/>
    <w:rsid w:val="00EF6AA7"/>
    <w:rsid w:val="00EF7D98"/>
    <w:rsid w:val="00F01F83"/>
    <w:rsid w:val="00F10E59"/>
    <w:rsid w:val="00F11B7F"/>
    <w:rsid w:val="00F5191B"/>
    <w:rsid w:val="00F52E7F"/>
    <w:rsid w:val="00F73C5F"/>
    <w:rsid w:val="00F77EFD"/>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D464-0ED6-4C06-B1A4-0D78AE3D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2018-04-20T09:08:00Z</dcterms:created>
  <dcterms:modified xsi:type="dcterms:W3CDTF">2018-06-14T09:48:00Z</dcterms:modified>
</cp:coreProperties>
</file>