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A3" w:rsidRPr="00F23FF7" w:rsidRDefault="00B070A3" w:rsidP="008F1E9E">
      <w:pPr>
        <w:spacing w:before="100" w:beforeAutospacing="1" w:after="100" w:afterAutospacing="1" w:line="240" w:lineRule="auto"/>
        <w:ind w:left="851" w:hanging="851"/>
        <w:jc w:val="both"/>
        <w:outlineLvl w:val="0"/>
        <w:rPr>
          <w:rFonts w:ascii="Arial" w:hAnsi="Arial" w:cs="Arial"/>
          <w:b/>
          <w:lang w:val="en-GB"/>
        </w:rPr>
      </w:pPr>
      <w:r>
        <w:rPr>
          <w:rFonts w:ascii="Arial" w:hAnsi="Arial" w:cs="Arial"/>
          <w:b/>
          <w:lang w:val="en-GB"/>
        </w:rPr>
        <w:tab/>
        <w:t xml:space="preserve">  </w:t>
      </w:r>
      <w:r>
        <w:rPr>
          <w:rFonts w:ascii="Arial" w:hAnsi="Arial" w:cs="Arial"/>
          <w:b/>
          <w:lang w:val="en-GB"/>
        </w:rPr>
        <w:tab/>
      </w:r>
      <w:r>
        <w:rPr>
          <w:rFonts w:ascii="Arial" w:hAnsi="Arial" w:cs="Arial"/>
          <w:b/>
          <w:lang w:val="en-GB"/>
        </w:rPr>
        <w:tab/>
      </w:r>
      <w:r>
        <w:rPr>
          <w:rFonts w:ascii="Arial" w:hAnsi="Arial" w:cs="Arial"/>
          <w:b/>
          <w:lang w:val="en-GB"/>
        </w:rPr>
        <w:tab/>
        <w:t xml:space="preserve"> </w:t>
      </w:r>
      <w:r w:rsidRPr="00F23FF7">
        <w:rPr>
          <w:rFonts w:ascii="Arial" w:hAnsi="Arial" w:cs="Arial"/>
          <w:b/>
          <w:lang w:val="en-GB"/>
        </w:rPr>
        <w:t>THE NATIONAL ASSEMBLY</w:t>
      </w:r>
    </w:p>
    <w:p w:rsidR="00B070A3" w:rsidRPr="00F23FF7" w:rsidRDefault="00B070A3" w:rsidP="008F1E9E">
      <w:pPr>
        <w:spacing w:before="100" w:beforeAutospacing="1" w:after="100" w:afterAutospacing="1" w:line="240" w:lineRule="auto"/>
        <w:ind w:left="851" w:hanging="851"/>
        <w:jc w:val="both"/>
        <w:outlineLvl w:val="0"/>
        <w:rPr>
          <w:rFonts w:ascii="Arial" w:hAnsi="Arial" w:cs="Arial"/>
          <w:b/>
          <w:lang w:val="en-GB"/>
        </w:rPr>
      </w:pPr>
      <w:r w:rsidRPr="00F23FF7">
        <w:rPr>
          <w:rFonts w:ascii="Arial" w:hAnsi="Arial" w:cs="Arial"/>
          <w:b/>
          <w:lang w:val="en-GB"/>
        </w:rPr>
        <w:tab/>
      </w:r>
      <w:r w:rsidRPr="00F23FF7">
        <w:rPr>
          <w:rFonts w:ascii="Arial" w:hAnsi="Arial" w:cs="Arial"/>
          <w:b/>
          <w:lang w:val="en-GB"/>
        </w:rPr>
        <w:tab/>
      </w:r>
      <w:r w:rsidRPr="00F23FF7">
        <w:rPr>
          <w:rFonts w:ascii="Arial" w:hAnsi="Arial" w:cs="Arial"/>
          <w:b/>
          <w:lang w:val="en-GB"/>
        </w:rPr>
        <w:tab/>
      </w:r>
      <w:r w:rsidRPr="00F23FF7">
        <w:rPr>
          <w:rFonts w:ascii="Arial" w:hAnsi="Arial" w:cs="Arial"/>
          <w:b/>
          <w:lang w:val="en-GB"/>
        </w:rPr>
        <w:tab/>
        <w:t>QUESTION FOR WRITTEN REPLY</w:t>
      </w:r>
    </w:p>
    <w:p w:rsidR="00B070A3" w:rsidRDefault="00B070A3" w:rsidP="008F1E9E">
      <w:pPr>
        <w:spacing w:before="100" w:beforeAutospacing="1" w:after="100" w:afterAutospacing="1"/>
        <w:ind w:left="851" w:hanging="851"/>
        <w:jc w:val="both"/>
        <w:outlineLvl w:val="0"/>
        <w:rPr>
          <w:rFonts w:ascii="Arial" w:hAnsi="Arial" w:cs="Arial"/>
          <w:b/>
          <w:lang w:val="en-GB"/>
        </w:rPr>
      </w:pPr>
    </w:p>
    <w:p w:rsidR="00B070A3" w:rsidRPr="00F23FF7" w:rsidRDefault="00B070A3" w:rsidP="008F1E9E">
      <w:pPr>
        <w:spacing w:before="100" w:beforeAutospacing="1" w:after="100" w:afterAutospacing="1"/>
        <w:ind w:left="851" w:hanging="851"/>
        <w:jc w:val="both"/>
        <w:outlineLvl w:val="0"/>
        <w:rPr>
          <w:rFonts w:ascii="Arial" w:hAnsi="Arial" w:cs="Arial"/>
          <w:b/>
          <w:lang w:val="en-GB"/>
        </w:rPr>
      </w:pPr>
      <w:r w:rsidRPr="00F23FF7">
        <w:rPr>
          <w:rFonts w:ascii="Arial" w:hAnsi="Arial" w:cs="Arial"/>
          <w:b/>
          <w:lang w:val="en-GB"/>
        </w:rPr>
        <w:t>1153.</w:t>
      </w:r>
      <w:r w:rsidRPr="00F23FF7">
        <w:rPr>
          <w:rFonts w:ascii="Arial" w:hAnsi="Arial" w:cs="Arial"/>
          <w:b/>
          <w:lang w:val="en-GB"/>
        </w:rPr>
        <w:tab/>
        <w:t>Mr B H Holomisa (UDM) to ask the Minister of Trade and Industry:</w:t>
      </w:r>
    </w:p>
    <w:p w:rsidR="00B070A3" w:rsidRPr="00F23FF7" w:rsidRDefault="00B070A3" w:rsidP="008F1E9E">
      <w:pPr>
        <w:spacing w:before="100" w:beforeAutospacing="1" w:after="100" w:afterAutospacing="1"/>
        <w:ind w:left="1441" w:hanging="590"/>
        <w:jc w:val="both"/>
        <w:outlineLvl w:val="0"/>
        <w:rPr>
          <w:rFonts w:ascii="Arial" w:hAnsi="Arial" w:cs="Arial"/>
        </w:rPr>
      </w:pPr>
      <w:r w:rsidRPr="00F23FF7">
        <w:rPr>
          <w:rFonts w:ascii="Arial" w:hAnsi="Arial" w:cs="Arial"/>
        </w:rPr>
        <w:t>(1)</w:t>
      </w:r>
      <w:r w:rsidRPr="00F23FF7">
        <w:rPr>
          <w:rFonts w:ascii="Arial" w:hAnsi="Arial" w:cs="Arial"/>
        </w:rPr>
        <w:tab/>
        <w:t>With reference to his replies to questions 616, 723 and 724 on 17 March 2016 (details furnished), can he, after consultation with the first Chief Executive Officer (CEO), the second CEO Mr Mokhobo and the third CEO Mr Jacques Booysen, as well as attorney Mr Edward Lalumbe and Mr Prince Mafojane, Chairman of the Gauteng Gambling Board (GGB), (a) provide a copy of a letter, written by Mr Sello Loate and addressed to Mr Dan Mzizi and Mr Richard Moloko, dated 31 October 2000, in which Mr Loate, the technical monitor on behalf of the GGB, in the specified letter states that “these secret developments pose a potential risk to Akani, in the sense that Freedom Park is on a tight schedule” and (b) acknowledge that the specified letter is important, as it points to the fact that the National Gambling Board (NGB) provided him with incorrect information when it said that The Apartheid Museum was the Gold Reef City Casino project at the time of the application for the Gold Reef City Casino licence and also proves that three years after 1997 the GGB was only aware of Freedom Park, as the project promised by the Gold Reef City Casino;</w:t>
      </w:r>
    </w:p>
    <w:p w:rsidR="00B070A3" w:rsidRPr="00F23FF7" w:rsidRDefault="00B070A3" w:rsidP="008F1E9E">
      <w:pPr>
        <w:spacing w:before="100" w:beforeAutospacing="1" w:after="100" w:afterAutospacing="1"/>
        <w:ind w:left="1441" w:hanging="590"/>
        <w:jc w:val="both"/>
        <w:outlineLvl w:val="0"/>
        <w:rPr>
          <w:rFonts w:ascii="Arial" w:hAnsi="Arial" w:cs="Arial"/>
          <w:lang w:val="en-GB"/>
        </w:rPr>
      </w:pPr>
      <w:r w:rsidRPr="00F23FF7">
        <w:rPr>
          <w:rFonts w:ascii="Arial" w:hAnsi="Arial" w:cs="Arial"/>
        </w:rPr>
        <w:t>(2)</w:t>
      </w:r>
      <w:r w:rsidRPr="00F23FF7">
        <w:rPr>
          <w:rFonts w:ascii="Arial" w:hAnsi="Arial" w:cs="Arial"/>
        </w:rPr>
        <w:tab/>
        <w:t xml:space="preserve">can he, after consultation with the specified persons of the GGB, (a) confirm that the casino licence was awarded to the two applicants on 22 April 1998 on the condition that within a period of three years the joint owners of the Gold Reef City Casino licence must complete the Freedom Park project as promised, (b) confirm that </w:t>
      </w:r>
      <w:r w:rsidRPr="00F23FF7">
        <w:rPr>
          <w:rFonts w:ascii="Arial" w:hAnsi="Arial" w:cs="Arial"/>
          <w:lang w:val="en-GB"/>
        </w:rPr>
        <w:t xml:space="preserve">Abraham and Solomon Krok were the principal shareholders of </w:t>
      </w:r>
      <w:r w:rsidRPr="00F23FF7">
        <w:rPr>
          <w:rFonts w:ascii="Arial" w:hAnsi="Arial" w:cs="Arial"/>
        </w:rPr>
        <w:t>the</w:t>
      </w:r>
      <w:r w:rsidRPr="00F23FF7">
        <w:rPr>
          <w:rFonts w:ascii="Arial" w:hAnsi="Arial" w:cs="Arial"/>
          <w:lang w:val="en-GB"/>
        </w:rPr>
        <w:t xml:space="preserve"> promoters and that they were present at the public hearing for the Gold Reef City Casino licence on 18 November 1997 and that, under the mandatory provisions of the National Gambling Act, Act 7 of 2004, referred to as Black Economic Empowerment, the Chairperson Mr Reuel Khoza, placed Abraham and Solomon Krok centre stage as white persons who had over 40 years grown their wealth in the </w:t>
      </w:r>
      <w:r w:rsidRPr="00F23FF7">
        <w:rPr>
          <w:rFonts w:ascii="Arial" w:hAnsi="Arial" w:cs="Arial"/>
        </w:rPr>
        <w:t>pharmaceuticals</w:t>
      </w:r>
      <w:r w:rsidRPr="00F23FF7">
        <w:rPr>
          <w:rFonts w:ascii="Arial" w:hAnsi="Arial" w:cs="Arial"/>
          <w:lang w:val="en-GB"/>
        </w:rPr>
        <w:t xml:space="preserve"> industry and (c) provide the further relevant details of the direct and/or indirect investment of Abraham and Solomon Krok;</w:t>
      </w:r>
    </w:p>
    <w:p w:rsidR="00B070A3" w:rsidRPr="00F23FF7" w:rsidRDefault="00B070A3" w:rsidP="008F1E9E">
      <w:pPr>
        <w:spacing w:before="100" w:beforeAutospacing="1" w:after="100" w:afterAutospacing="1"/>
        <w:ind w:left="1441" w:hanging="590"/>
        <w:jc w:val="both"/>
        <w:outlineLvl w:val="0"/>
        <w:rPr>
          <w:rFonts w:ascii="Arial" w:hAnsi="Arial" w:cs="Arial"/>
          <w:b/>
          <w:color w:val="000000"/>
          <w:lang w:val="en-GB"/>
        </w:rPr>
      </w:pPr>
      <w:r w:rsidRPr="00F23FF7">
        <w:rPr>
          <w:rFonts w:ascii="Arial" w:hAnsi="Arial" w:cs="Arial"/>
        </w:rPr>
        <w:t xml:space="preserve">(3) </w:t>
      </w:r>
      <w:r w:rsidRPr="00F23FF7">
        <w:rPr>
          <w:rFonts w:ascii="Arial" w:hAnsi="Arial" w:cs="Arial"/>
        </w:rPr>
        <w:tab/>
        <w:t xml:space="preserve">(a) can he, in consultation with the NGB, the GGB and the Companies and Intellectual Property Registration Office (CIPRO) and/or the Companies and Intellectual Property Commission (CIPC) provide the company registration numbers for </w:t>
      </w:r>
      <w:r w:rsidRPr="00F23FF7">
        <w:rPr>
          <w:rFonts w:ascii="Arial" w:hAnsi="Arial" w:cs="Arial"/>
          <w:color w:val="000000"/>
        </w:rPr>
        <w:t xml:space="preserve">Tacasa Investment (Pty) Ltd and Casino Austria International Holding GmbH, together with the names of the directors at the inception of the specified two companies and (b) can he </w:t>
      </w:r>
      <w:r w:rsidRPr="00F23FF7">
        <w:rPr>
          <w:rFonts w:ascii="Arial" w:hAnsi="Arial" w:cs="Arial"/>
        </w:rPr>
        <w:t>explain why he sought answers from CIPRO and/or CIPC when the questions raised by Mr B H Holomisa specifically asked for incorporation and other documents in the possession of the NLB and/or National Lotteries Commission (NLC);</w:t>
      </w:r>
    </w:p>
    <w:p w:rsidR="00B070A3" w:rsidRPr="00F23FF7" w:rsidRDefault="00B070A3" w:rsidP="008F1E9E">
      <w:pPr>
        <w:spacing w:before="100" w:beforeAutospacing="1" w:after="100" w:afterAutospacing="1"/>
        <w:ind w:left="1441" w:hanging="590"/>
        <w:jc w:val="both"/>
        <w:outlineLvl w:val="0"/>
        <w:rPr>
          <w:rFonts w:ascii="Arial" w:hAnsi="Arial" w:cs="Arial"/>
        </w:rPr>
      </w:pPr>
      <w:r w:rsidRPr="00F23FF7">
        <w:rPr>
          <w:rFonts w:ascii="Arial" w:hAnsi="Arial" w:cs="Arial"/>
        </w:rPr>
        <w:t>(4)</w:t>
      </w:r>
      <w:r w:rsidRPr="00F23FF7">
        <w:rPr>
          <w:rFonts w:ascii="Arial" w:hAnsi="Arial" w:cs="Arial"/>
        </w:rPr>
        <w:tab/>
        <w:t>(a) can he, specifically after consultation with Professor Dorcas Jafta and Ms Thoko Mkhwanazi-Xaluva, the past and current Chairpersons of the Arts, Culture and Heritage Distribution Agency of the NLB and/or NLC and Ms Thabang Charlotte Mampane, the CEO of the specified distribution agency, as well as Mr Jeffrey Du Preez, the Chief Operations Officer of the NLB and/or NLC, confirm that the (i) statutory declaration of Mr Christopher Till, used in support of the application for funding submitted in November 2004, records the name of the applicant as SA Apartheid Museum under the Unique Company Registration Number 2001/019108/08 and (ii) specified person in his statutory declaration, in keeping with the rules and regulations set out by the NLB and/or NLC, stated the name of the bank account for the payment of the grant-in-aid as SA Apartheid Museum</w:t>
      </w:r>
      <w:r w:rsidRPr="00F23FF7">
        <w:rPr>
          <w:rFonts w:ascii="Arial" w:hAnsi="Arial" w:cs="Arial"/>
          <w:b/>
        </w:rPr>
        <w:t xml:space="preserve"> </w:t>
      </w:r>
      <w:r w:rsidRPr="00F23FF7">
        <w:rPr>
          <w:rFonts w:ascii="Arial" w:hAnsi="Arial" w:cs="Arial"/>
        </w:rPr>
        <w:t>and (b) can he, after a reading of the evidence given under oath by Professor Dorcas Jafta and Tebogo Maitse on behalf of the NLB in Case No 788/10 in the Supreme Court of Appeal, explain why the R1,580,000 grant-in-aid</w:t>
      </w:r>
      <w:r w:rsidRPr="00F23FF7">
        <w:rPr>
          <w:rFonts w:ascii="Arial" w:hAnsi="Arial" w:cs="Arial"/>
          <w:i/>
        </w:rPr>
        <w:t xml:space="preserve"> </w:t>
      </w:r>
      <w:r w:rsidRPr="00F23FF7">
        <w:rPr>
          <w:rFonts w:ascii="Arial" w:hAnsi="Arial" w:cs="Arial"/>
        </w:rPr>
        <w:t>was paid to The South African Apartheid Museum at Freedom Park, even though Mr Christopher Till of SA Apartheid Museum, under the imposed statutory obligation, provided no such information in his application for funding;</w:t>
      </w:r>
    </w:p>
    <w:p w:rsidR="00B070A3" w:rsidRDefault="00B070A3" w:rsidP="008F1E9E">
      <w:pPr>
        <w:spacing w:before="100" w:beforeAutospacing="1" w:after="100" w:afterAutospacing="1"/>
        <w:ind w:left="1441" w:hanging="590"/>
        <w:jc w:val="both"/>
        <w:outlineLvl w:val="0"/>
        <w:rPr>
          <w:rFonts w:ascii="Arial" w:hAnsi="Arial" w:cs="Arial"/>
        </w:rPr>
      </w:pPr>
      <w:r w:rsidRPr="00F23FF7">
        <w:rPr>
          <w:rFonts w:ascii="Arial" w:hAnsi="Arial" w:cs="Arial"/>
        </w:rPr>
        <w:t>(5)</w:t>
      </w:r>
      <w:r w:rsidRPr="00F23FF7">
        <w:rPr>
          <w:rFonts w:ascii="Arial" w:hAnsi="Arial" w:cs="Arial"/>
        </w:rPr>
        <w:tab/>
        <w:t>can he, specifically after consultation with the NLB and/or NLC finance department and PriceWaterhouseCoopers, the appointed auditors for the NLB and/or NLC, (a) provide conclusive proof that SA Apartheid Museum and Mr Christopher Till in fact received the three tranches totalling R1,580,000 after the adjudication of the application for funding in 2008, (b) confirm that the (i) specified allocation is first listed in the 2006 Annual Financial Statements of the NLB, under the name SA Apartheid Museum and, after further consultation with the Auditor-General, explain how the grant-in-aid</w:t>
      </w:r>
      <w:r w:rsidRPr="00F23FF7">
        <w:rPr>
          <w:rFonts w:ascii="Arial" w:hAnsi="Arial" w:cs="Arial"/>
          <w:i/>
        </w:rPr>
        <w:t xml:space="preserve"> </w:t>
      </w:r>
      <w:r w:rsidRPr="00F23FF7">
        <w:rPr>
          <w:rFonts w:ascii="Arial" w:hAnsi="Arial" w:cs="Arial"/>
        </w:rPr>
        <w:t>of R1,580,000 to SA Apartheid Museum is accounted for in the 2006 Annual Financial Statements when the application for funding, according to him, was not adjudicated until 2008, two years later and (ii) specified person in fact provided Annual Financial Statements for SA Apartheid Museum, prior to the adjudication of the specified person’s application in 2008 and (c) can he furnish the project number allocated to the specified application by the specified person for SA Apartheid Museum in November 2004?NW1289E</w:t>
      </w:r>
    </w:p>
    <w:p w:rsidR="00B070A3" w:rsidRPr="00F23FF7" w:rsidRDefault="00B070A3" w:rsidP="008F1E9E">
      <w:pPr>
        <w:spacing w:before="100" w:beforeAutospacing="1" w:after="100" w:afterAutospacing="1"/>
        <w:ind w:left="851" w:hanging="851"/>
        <w:jc w:val="both"/>
        <w:outlineLvl w:val="0"/>
        <w:rPr>
          <w:rFonts w:ascii="Arial" w:hAnsi="Arial" w:cs="Arial"/>
          <w:b/>
          <w:lang w:val="en-GB"/>
        </w:rPr>
      </w:pPr>
      <w:r>
        <w:rPr>
          <w:rFonts w:ascii="Arial" w:hAnsi="Arial" w:cs="Arial"/>
          <w:b/>
          <w:lang w:val="en-GB"/>
        </w:rPr>
        <w:t xml:space="preserve">    </w:t>
      </w:r>
      <w:r w:rsidRPr="00F23FF7">
        <w:rPr>
          <w:rFonts w:ascii="Arial" w:hAnsi="Arial" w:cs="Arial"/>
          <w:b/>
          <w:lang w:val="en-GB"/>
        </w:rPr>
        <w:t>Response</w:t>
      </w:r>
    </w:p>
    <w:p w:rsidR="00B070A3" w:rsidRPr="00F23FF7" w:rsidRDefault="00B070A3" w:rsidP="008F1E9E">
      <w:pPr>
        <w:spacing w:before="100" w:beforeAutospacing="1" w:after="100" w:afterAutospacing="1"/>
        <w:ind w:left="1441" w:hanging="590"/>
        <w:jc w:val="both"/>
        <w:outlineLvl w:val="0"/>
        <w:rPr>
          <w:rFonts w:ascii="Arial" w:hAnsi="Arial" w:cs="Arial"/>
        </w:rPr>
      </w:pPr>
      <w:r>
        <w:rPr>
          <w:rFonts w:ascii="Arial" w:hAnsi="Arial" w:cs="Arial"/>
        </w:rPr>
        <w:t>(1) and (2)</w:t>
      </w:r>
      <w:r w:rsidRPr="00F23FF7">
        <w:rPr>
          <w:rFonts w:ascii="Arial" w:hAnsi="Arial" w:cs="Arial"/>
        </w:rPr>
        <w:t xml:space="preserve"> </w:t>
      </w:r>
      <w:r w:rsidRPr="00D6100B">
        <w:rPr>
          <w:rFonts w:ascii="Arial" w:hAnsi="Arial" w:cs="Arial"/>
        </w:rPr>
        <w:t xml:space="preserve">The GGB is an independent entity which does not </w:t>
      </w:r>
      <w:r>
        <w:rPr>
          <w:rFonts w:ascii="Arial" w:hAnsi="Arial" w:cs="Arial"/>
        </w:rPr>
        <w:t>account</w:t>
      </w:r>
      <w:r w:rsidRPr="00D6100B">
        <w:rPr>
          <w:rFonts w:ascii="Arial" w:hAnsi="Arial" w:cs="Arial"/>
        </w:rPr>
        <w:t xml:space="preserve"> to the dti</w:t>
      </w:r>
      <w:r>
        <w:rPr>
          <w:rFonts w:ascii="Arial" w:hAnsi="Arial" w:cs="Arial"/>
        </w:rPr>
        <w:t xml:space="preserve"> as the national department</w:t>
      </w:r>
      <w:r w:rsidRPr="00D6100B">
        <w:rPr>
          <w:rFonts w:ascii="Arial" w:hAnsi="Arial" w:cs="Arial"/>
        </w:rPr>
        <w:t>.</w:t>
      </w:r>
      <w:r>
        <w:rPr>
          <w:rFonts w:ascii="Arial" w:hAnsi="Arial" w:cs="Arial"/>
        </w:rPr>
        <w:t xml:space="preserve"> Therefore it is recommended that the Honourable Member source information directly from the </w:t>
      </w:r>
      <w:r w:rsidRPr="00F23FF7">
        <w:rPr>
          <w:rFonts w:ascii="Arial" w:hAnsi="Arial" w:cs="Arial"/>
        </w:rPr>
        <w:t>Gauteng Gambling Board</w:t>
      </w:r>
      <w:r>
        <w:rPr>
          <w:rFonts w:ascii="Arial" w:hAnsi="Arial" w:cs="Arial"/>
        </w:rPr>
        <w:t>.</w:t>
      </w:r>
    </w:p>
    <w:p w:rsidR="00B070A3" w:rsidRPr="00F23FF7" w:rsidRDefault="00B070A3" w:rsidP="008F1E9E">
      <w:pPr>
        <w:spacing w:before="100" w:beforeAutospacing="1" w:after="100" w:afterAutospacing="1"/>
        <w:ind w:left="1441" w:hanging="590"/>
        <w:jc w:val="both"/>
        <w:outlineLvl w:val="0"/>
        <w:rPr>
          <w:rFonts w:ascii="Arial" w:hAnsi="Arial" w:cs="Arial"/>
        </w:rPr>
      </w:pPr>
      <w:r w:rsidRPr="00F23FF7">
        <w:rPr>
          <w:rFonts w:ascii="Arial" w:hAnsi="Arial" w:cs="Arial"/>
        </w:rPr>
        <w:t xml:space="preserve"> (3) </w:t>
      </w:r>
      <w:r w:rsidRPr="00F23FF7">
        <w:rPr>
          <w:rFonts w:ascii="Arial" w:hAnsi="Arial" w:cs="Arial"/>
        </w:rPr>
        <w:tab/>
        <w:t>(a) According to the response received from the CIPC, these two company names are not registered on the CIPC’s database.</w:t>
      </w:r>
    </w:p>
    <w:p w:rsidR="00B070A3" w:rsidRPr="00F23FF7" w:rsidRDefault="00B070A3" w:rsidP="008F1E9E">
      <w:pPr>
        <w:spacing w:before="100" w:beforeAutospacing="1" w:after="100" w:afterAutospacing="1"/>
        <w:ind w:left="1441" w:hanging="590"/>
        <w:jc w:val="both"/>
        <w:outlineLvl w:val="0"/>
        <w:rPr>
          <w:rFonts w:ascii="Arial" w:hAnsi="Arial" w:cs="Arial"/>
          <w:b/>
          <w:color w:val="000000"/>
          <w:lang w:val="en-GB"/>
        </w:rPr>
      </w:pPr>
      <w:r w:rsidRPr="00F23FF7">
        <w:rPr>
          <w:rFonts w:ascii="Arial" w:hAnsi="Arial" w:cs="Arial"/>
        </w:rPr>
        <w:tab/>
        <w:t xml:space="preserve">(b) </w:t>
      </w:r>
      <w:r>
        <w:rPr>
          <w:rFonts w:ascii="Arial" w:hAnsi="Arial" w:cs="Arial"/>
        </w:rPr>
        <w:t>Information regarding incorporation of companies is best sourced from the CIPC</w:t>
      </w:r>
      <w:r w:rsidRPr="00F23FF7">
        <w:rPr>
          <w:rFonts w:ascii="Arial" w:hAnsi="Arial" w:cs="Arial"/>
        </w:rPr>
        <w:t>.</w:t>
      </w:r>
    </w:p>
    <w:p w:rsidR="00B070A3" w:rsidRPr="00F23FF7" w:rsidRDefault="00B070A3" w:rsidP="008F1E9E">
      <w:pPr>
        <w:spacing w:before="100" w:beforeAutospacing="1" w:after="100" w:afterAutospacing="1"/>
        <w:ind w:left="1441" w:hanging="590"/>
        <w:jc w:val="both"/>
        <w:outlineLvl w:val="0"/>
        <w:rPr>
          <w:rFonts w:ascii="Arial" w:hAnsi="Arial" w:cs="Arial"/>
        </w:rPr>
      </w:pPr>
      <w:r w:rsidRPr="00F23FF7">
        <w:rPr>
          <w:rFonts w:ascii="Arial" w:hAnsi="Arial" w:cs="Arial"/>
        </w:rPr>
        <w:t>(4)</w:t>
      </w:r>
      <w:r w:rsidRPr="00F23FF7">
        <w:rPr>
          <w:rFonts w:ascii="Arial" w:hAnsi="Arial" w:cs="Arial"/>
        </w:rPr>
        <w:tab/>
        <w:t>According to the response received from the NLC:</w:t>
      </w:r>
    </w:p>
    <w:p w:rsidR="00B070A3" w:rsidRPr="00F23FF7" w:rsidRDefault="00B070A3" w:rsidP="008F1E9E">
      <w:pPr>
        <w:spacing w:before="100" w:beforeAutospacing="1" w:after="100" w:afterAutospacing="1"/>
        <w:ind w:left="1441" w:hanging="1"/>
        <w:jc w:val="both"/>
        <w:outlineLvl w:val="0"/>
        <w:rPr>
          <w:rFonts w:ascii="Arial" w:hAnsi="Arial" w:cs="Arial"/>
        </w:rPr>
      </w:pPr>
      <w:r w:rsidRPr="00F23FF7">
        <w:rPr>
          <w:rFonts w:ascii="Arial" w:hAnsi="Arial" w:cs="Arial"/>
        </w:rPr>
        <w:t>(a)(i) The Section 21 Company Registration Number is given as  2001/019108/08.</w:t>
      </w:r>
    </w:p>
    <w:p w:rsidR="00B070A3" w:rsidRPr="00F23FF7" w:rsidRDefault="00B070A3" w:rsidP="008F1E9E">
      <w:pPr>
        <w:spacing w:before="100" w:beforeAutospacing="1" w:after="100" w:afterAutospacing="1"/>
        <w:ind w:left="1441" w:hanging="1"/>
        <w:jc w:val="both"/>
        <w:outlineLvl w:val="0"/>
        <w:rPr>
          <w:rFonts w:ascii="Arial" w:hAnsi="Arial" w:cs="Arial"/>
        </w:rPr>
      </w:pPr>
      <w:r w:rsidRPr="00F23FF7">
        <w:rPr>
          <w:rFonts w:ascii="Arial" w:hAnsi="Arial" w:cs="Arial"/>
        </w:rPr>
        <w:t>(ii) The bank account named in the application was SA Apartheid Museum</w:t>
      </w:r>
      <w:r>
        <w:rPr>
          <w:rFonts w:ascii="Arial" w:hAnsi="Arial" w:cs="Arial"/>
        </w:rPr>
        <w:t>.</w:t>
      </w:r>
      <w:r w:rsidRPr="00F23FF7">
        <w:rPr>
          <w:rFonts w:ascii="Arial" w:hAnsi="Arial" w:cs="Arial"/>
        </w:rPr>
        <w:t xml:space="preserve"> </w:t>
      </w:r>
    </w:p>
    <w:p w:rsidR="00B070A3" w:rsidRPr="00F23FF7" w:rsidRDefault="00B070A3" w:rsidP="008F1E9E">
      <w:pPr>
        <w:spacing w:before="100" w:beforeAutospacing="1" w:after="100" w:afterAutospacing="1"/>
        <w:ind w:left="1441" w:hanging="1"/>
        <w:jc w:val="both"/>
        <w:outlineLvl w:val="0"/>
        <w:rPr>
          <w:rFonts w:ascii="Arial" w:hAnsi="Arial" w:cs="Arial"/>
        </w:rPr>
      </w:pPr>
      <w:r w:rsidRPr="00F23FF7">
        <w:rPr>
          <w:rFonts w:ascii="Arial" w:hAnsi="Arial" w:cs="Arial"/>
        </w:rPr>
        <w:t xml:space="preserve">(b) </w:t>
      </w:r>
      <w:r>
        <w:rPr>
          <w:rFonts w:ascii="Arial" w:hAnsi="Arial" w:cs="Arial"/>
        </w:rPr>
        <w:t xml:space="preserve">In light of the above </w:t>
      </w:r>
      <w:r w:rsidRPr="00F23FF7">
        <w:rPr>
          <w:rFonts w:ascii="Arial" w:hAnsi="Arial" w:cs="Arial"/>
        </w:rPr>
        <w:t>naturally, any allocated funding will be paid into the account of the applicant/beneficiary as per the application form.</w:t>
      </w:r>
    </w:p>
    <w:p w:rsidR="00B070A3" w:rsidRPr="00F23FF7" w:rsidRDefault="00B070A3" w:rsidP="008F1E9E">
      <w:pPr>
        <w:spacing w:before="100" w:beforeAutospacing="1" w:after="100" w:afterAutospacing="1"/>
        <w:ind w:left="1441" w:hanging="590"/>
        <w:jc w:val="both"/>
        <w:outlineLvl w:val="0"/>
        <w:rPr>
          <w:rFonts w:ascii="Arial" w:hAnsi="Arial" w:cs="Arial"/>
        </w:rPr>
      </w:pPr>
      <w:r w:rsidRPr="00F23FF7">
        <w:rPr>
          <w:rFonts w:ascii="Arial" w:hAnsi="Arial" w:cs="Arial"/>
        </w:rPr>
        <w:t xml:space="preserve"> (5)</w:t>
      </w:r>
      <w:r w:rsidRPr="00F23FF7">
        <w:rPr>
          <w:rFonts w:ascii="Arial" w:hAnsi="Arial" w:cs="Arial"/>
        </w:rPr>
        <w:tab/>
        <w:t>According to the information received from the NLC:</w:t>
      </w:r>
    </w:p>
    <w:p w:rsidR="00B070A3" w:rsidRDefault="00B070A3" w:rsidP="008F1E9E">
      <w:pPr>
        <w:spacing w:before="100" w:beforeAutospacing="1" w:after="100" w:afterAutospacing="1"/>
        <w:ind w:left="1441" w:hanging="1"/>
        <w:jc w:val="both"/>
        <w:outlineLvl w:val="0"/>
        <w:rPr>
          <w:rFonts w:ascii="Arial" w:hAnsi="Arial" w:cs="Arial"/>
        </w:rPr>
      </w:pPr>
      <w:r w:rsidRPr="00F23FF7">
        <w:rPr>
          <w:rFonts w:ascii="Arial" w:hAnsi="Arial" w:cs="Arial"/>
        </w:rPr>
        <w:t xml:space="preserve">(a) Three Payments were made to the SA Apartheid Museum as follows </w:t>
      </w:r>
      <w:r>
        <w:rPr>
          <w:rFonts w:ascii="Arial" w:hAnsi="Arial" w:cs="Arial"/>
        </w:rPr>
        <w:t>–</w:t>
      </w:r>
    </w:p>
    <w:p w:rsidR="00B070A3" w:rsidRPr="00F23FF7" w:rsidRDefault="00B070A3" w:rsidP="008F1E9E">
      <w:pPr>
        <w:spacing w:before="100" w:beforeAutospacing="1" w:after="100" w:afterAutospacing="1"/>
        <w:ind w:left="1441" w:hanging="1"/>
        <w:jc w:val="both"/>
        <w:outlineLvl w:val="0"/>
        <w:rPr>
          <w:rFonts w:ascii="Arial" w:hAnsi="Arial" w:cs="Arial"/>
        </w:rPr>
      </w:pPr>
      <w:r w:rsidRPr="00F23FF7">
        <w:rPr>
          <w:rFonts w:ascii="Arial" w:hAnsi="Arial" w:cs="Arial"/>
        </w:rPr>
        <w:t>Tranche</w:t>
      </w:r>
      <w:r w:rsidRPr="00F23FF7">
        <w:rPr>
          <w:rFonts w:ascii="Arial" w:hAnsi="Arial" w:cs="Arial"/>
        </w:rPr>
        <w:tab/>
        <w:t>Amount</w:t>
      </w:r>
    </w:p>
    <w:p w:rsidR="00B070A3" w:rsidRPr="00F23FF7" w:rsidRDefault="00B070A3" w:rsidP="008F1E9E">
      <w:pPr>
        <w:spacing w:before="100" w:beforeAutospacing="1" w:after="100" w:afterAutospacing="1"/>
        <w:ind w:left="1441" w:hanging="1"/>
        <w:jc w:val="both"/>
        <w:outlineLvl w:val="0"/>
        <w:rPr>
          <w:rFonts w:ascii="Arial" w:hAnsi="Arial" w:cs="Arial"/>
        </w:rPr>
      </w:pPr>
      <w:r w:rsidRPr="00F23FF7">
        <w:rPr>
          <w:rFonts w:ascii="Arial" w:hAnsi="Arial" w:cs="Arial"/>
        </w:rPr>
        <w:t>1.</w:t>
      </w:r>
      <w:r w:rsidRPr="00F23FF7">
        <w:rPr>
          <w:rFonts w:ascii="Arial" w:hAnsi="Arial" w:cs="Arial"/>
        </w:rPr>
        <w:tab/>
      </w:r>
      <w:r w:rsidRPr="00F23FF7">
        <w:rPr>
          <w:rFonts w:ascii="Arial" w:hAnsi="Arial" w:cs="Arial"/>
        </w:rPr>
        <w:tab/>
        <w:t>R600,000.00</w:t>
      </w:r>
    </w:p>
    <w:p w:rsidR="00B070A3" w:rsidRPr="00F23FF7" w:rsidRDefault="00B070A3" w:rsidP="008F1E9E">
      <w:pPr>
        <w:spacing w:before="100" w:beforeAutospacing="1" w:after="100" w:afterAutospacing="1"/>
        <w:ind w:left="1441" w:hanging="1"/>
        <w:jc w:val="both"/>
        <w:outlineLvl w:val="0"/>
        <w:rPr>
          <w:rFonts w:ascii="Arial" w:hAnsi="Arial" w:cs="Arial"/>
        </w:rPr>
      </w:pPr>
      <w:r w:rsidRPr="00F23FF7">
        <w:rPr>
          <w:rFonts w:ascii="Arial" w:hAnsi="Arial" w:cs="Arial"/>
        </w:rPr>
        <w:t>2.</w:t>
      </w:r>
      <w:r w:rsidRPr="00F23FF7">
        <w:rPr>
          <w:rFonts w:ascii="Arial" w:hAnsi="Arial" w:cs="Arial"/>
        </w:rPr>
        <w:tab/>
      </w:r>
      <w:r w:rsidRPr="00F23FF7">
        <w:rPr>
          <w:rFonts w:ascii="Arial" w:hAnsi="Arial" w:cs="Arial"/>
        </w:rPr>
        <w:tab/>
        <w:t>R585,000.00</w:t>
      </w:r>
    </w:p>
    <w:p w:rsidR="00B070A3" w:rsidRPr="00F23FF7" w:rsidRDefault="00B070A3" w:rsidP="008F1E9E">
      <w:pPr>
        <w:spacing w:before="100" w:beforeAutospacing="1" w:after="100" w:afterAutospacing="1"/>
        <w:ind w:left="1441" w:hanging="1"/>
        <w:jc w:val="both"/>
        <w:outlineLvl w:val="0"/>
        <w:rPr>
          <w:rFonts w:ascii="Arial" w:hAnsi="Arial" w:cs="Arial"/>
        </w:rPr>
      </w:pPr>
      <w:r w:rsidRPr="00F23FF7">
        <w:rPr>
          <w:rFonts w:ascii="Arial" w:hAnsi="Arial" w:cs="Arial"/>
        </w:rPr>
        <w:t>3.</w:t>
      </w:r>
      <w:r w:rsidRPr="00F23FF7">
        <w:rPr>
          <w:rFonts w:ascii="Arial" w:hAnsi="Arial" w:cs="Arial"/>
        </w:rPr>
        <w:tab/>
      </w:r>
      <w:r w:rsidRPr="00F23FF7">
        <w:rPr>
          <w:rFonts w:ascii="Arial" w:hAnsi="Arial" w:cs="Arial"/>
        </w:rPr>
        <w:tab/>
        <w:t>R400,000.00</w:t>
      </w:r>
    </w:p>
    <w:p w:rsidR="00B070A3" w:rsidRPr="00F23FF7" w:rsidRDefault="00B070A3" w:rsidP="008F1E9E">
      <w:pPr>
        <w:spacing w:before="100" w:beforeAutospacing="1" w:after="100" w:afterAutospacing="1"/>
        <w:ind w:left="1441" w:hanging="1"/>
        <w:jc w:val="both"/>
        <w:outlineLvl w:val="0"/>
        <w:rPr>
          <w:rFonts w:ascii="Arial" w:hAnsi="Arial" w:cs="Arial"/>
        </w:rPr>
      </w:pPr>
      <w:r w:rsidRPr="00F23FF7">
        <w:rPr>
          <w:rFonts w:ascii="Arial" w:hAnsi="Arial" w:cs="Arial"/>
        </w:rPr>
        <w:t xml:space="preserve">All payments are disclosed in the NLC Annual Reports which can be located on our website: </w:t>
      </w:r>
      <w:hyperlink r:id="rId4" w:history="1">
        <w:r w:rsidRPr="00F23FF7">
          <w:rPr>
            <w:rStyle w:val="Hyperlink"/>
            <w:rFonts w:ascii="Arial" w:hAnsi="Arial" w:cs="Arial"/>
          </w:rPr>
          <w:t>www.nlcsa.org.za</w:t>
        </w:r>
      </w:hyperlink>
    </w:p>
    <w:p w:rsidR="00B070A3" w:rsidRDefault="00B070A3" w:rsidP="008F1E9E">
      <w:pPr>
        <w:spacing w:before="100" w:beforeAutospacing="1" w:after="100" w:afterAutospacing="1"/>
        <w:ind w:left="1441" w:hanging="1"/>
        <w:jc w:val="both"/>
        <w:outlineLvl w:val="0"/>
        <w:rPr>
          <w:rFonts w:ascii="Arial" w:hAnsi="Arial" w:cs="Arial"/>
        </w:rPr>
      </w:pPr>
      <w:r w:rsidRPr="00F23FF7">
        <w:rPr>
          <w:rFonts w:ascii="Arial" w:hAnsi="Arial" w:cs="Arial"/>
        </w:rPr>
        <w:t xml:space="preserve">(b)(i) </w:t>
      </w:r>
      <w:r>
        <w:rPr>
          <w:rFonts w:ascii="Arial" w:hAnsi="Arial" w:cs="Arial"/>
        </w:rPr>
        <w:t>SA Apartheid Museum applied for grant funding during 2004 and tranches were paid as indicated above. In 2008 the NLC migrated information from Grant Management System (GMS) 1 to GMS 2</w:t>
      </w:r>
      <w:r w:rsidRPr="00F23FF7">
        <w:rPr>
          <w:rFonts w:ascii="Arial" w:hAnsi="Arial" w:cs="Arial"/>
        </w:rPr>
        <w:t xml:space="preserve">. </w:t>
      </w:r>
      <w:r>
        <w:rPr>
          <w:rFonts w:ascii="Arial" w:hAnsi="Arial" w:cs="Arial"/>
        </w:rPr>
        <w:t xml:space="preserve">When the migration was done, certain information was corrupted in that applications adjudicated in 2004, 2005, and 2006 gave an impression that they were adjudicated in 2008 whereas there was no such adjudication of SA Apartheid Museum in 2008. </w:t>
      </w:r>
    </w:p>
    <w:p w:rsidR="00B070A3" w:rsidRPr="00F23FF7" w:rsidRDefault="00B070A3" w:rsidP="008F1E9E">
      <w:pPr>
        <w:spacing w:before="100" w:beforeAutospacing="1" w:after="100" w:afterAutospacing="1"/>
        <w:ind w:left="1441" w:hanging="1"/>
        <w:jc w:val="both"/>
        <w:outlineLvl w:val="0"/>
        <w:rPr>
          <w:rFonts w:ascii="Arial" w:hAnsi="Arial" w:cs="Arial"/>
        </w:rPr>
      </w:pPr>
      <w:r w:rsidRPr="00F23FF7">
        <w:rPr>
          <w:rFonts w:ascii="Arial" w:hAnsi="Arial" w:cs="Arial"/>
        </w:rPr>
        <w:t xml:space="preserve">(ii) The Annual Financial Statements of the SA Apartheid Museum for financial years 2001, 2002 and 2003 were submitted with the original application on 24 November 2004. </w:t>
      </w:r>
    </w:p>
    <w:p w:rsidR="00B070A3" w:rsidRDefault="00B070A3" w:rsidP="008F1E9E">
      <w:pPr>
        <w:spacing w:before="100" w:beforeAutospacing="1" w:after="100" w:afterAutospacing="1"/>
        <w:ind w:left="1441" w:hanging="1"/>
        <w:jc w:val="both"/>
        <w:outlineLvl w:val="0"/>
        <w:rPr>
          <w:rFonts w:ascii="Arial" w:hAnsi="Arial" w:cs="Arial"/>
        </w:rPr>
      </w:pPr>
      <w:r w:rsidRPr="00F23FF7">
        <w:rPr>
          <w:rFonts w:ascii="Arial" w:hAnsi="Arial" w:cs="Arial"/>
        </w:rPr>
        <w:t xml:space="preserve">(c) The project number for the application received by the NLC </w:t>
      </w:r>
      <w:r>
        <w:rPr>
          <w:rFonts w:ascii="Arial" w:hAnsi="Arial" w:cs="Arial"/>
        </w:rPr>
        <w:t xml:space="preserve">of the </w:t>
      </w:r>
      <w:r w:rsidRPr="00F23FF7">
        <w:rPr>
          <w:rFonts w:ascii="Arial" w:hAnsi="Arial" w:cs="Arial"/>
        </w:rPr>
        <w:t>SA Apartheid Museum on 24 November 2004 is 18052.</w:t>
      </w:r>
    </w:p>
    <w:p w:rsidR="00B070A3" w:rsidRDefault="00B070A3" w:rsidP="008F1E9E">
      <w:pPr>
        <w:spacing w:before="100" w:beforeAutospacing="1" w:after="100" w:afterAutospacing="1"/>
        <w:ind w:left="1441" w:hanging="590"/>
        <w:jc w:val="both"/>
        <w:outlineLvl w:val="0"/>
        <w:rPr>
          <w:rFonts w:ascii="Arial" w:hAnsi="Arial" w:cs="Arial"/>
        </w:rPr>
      </w:pPr>
    </w:p>
    <w:p w:rsidR="00B070A3" w:rsidRDefault="00B070A3"/>
    <w:sectPr w:rsidR="00B070A3" w:rsidSect="003261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E9E"/>
    <w:rsid w:val="00251A1E"/>
    <w:rsid w:val="002A35AA"/>
    <w:rsid w:val="003261E9"/>
    <w:rsid w:val="003B075B"/>
    <w:rsid w:val="00874354"/>
    <w:rsid w:val="008F1E9E"/>
    <w:rsid w:val="00B070A3"/>
    <w:rsid w:val="00C47E3A"/>
    <w:rsid w:val="00D6100B"/>
    <w:rsid w:val="00DE0DFA"/>
    <w:rsid w:val="00E61837"/>
    <w:rsid w:val="00F23F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9E"/>
    <w:pPr>
      <w:spacing w:after="200" w:line="276" w:lineRule="auto"/>
    </w:pPr>
    <w:rPr>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1E9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lcs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1063</Words>
  <Characters>6063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Saroj</dc:creator>
  <cp:keywords/>
  <dc:description/>
  <cp:lastModifiedBy>schuene</cp:lastModifiedBy>
  <cp:revision>2</cp:revision>
  <dcterms:created xsi:type="dcterms:W3CDTF">2016-05-03T11:10:00Z</dcterms:created>
  <dcterms:modified xsi:type="dcterms:W3CDTF">2016-05-03T11:10:00Z</dcterms:modified>
</cp:coreProperties>
</file>