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40677E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2D3CF5">
        <w:rPr>
          <w:rFonts w:ascii="Arial" w:hAnsi="Arial" w:cs="Arial"/>
          <w:b/>
          <w:sz w:val="22"/>
          <w:szCs w:val="22"/>
        </w:rPr>
        <w:t>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8A1D9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QUESTION NUMBER</w:t>
      </w:r>
      <w:r w:rsidR="001B0917" w:rsidRPr="008A1D98">
        <w:rPr>
          <w:rFonts w:ascii="Arial" w:hAnsi="Arial" w:cs="Arial"/>
          <w:b/>
          <w:sz w:val="22"/>
          <w:szCs w:val="22"/>
        </w:rPr>
        <w:t>:</w:t>
      </w:r>
      <w:r w:rsidRPr="008A1D98">
        <w:rPr>
          <w:rFonts w:ascii="Arial" w:hAnsi="Arial" w:cs="Arial"/>
          <w:b/>
          <w:sz w:val="22"/>
          <w:szCs w:val="22"/>
        </w:rPr>
        <w:t xml:space="preserve"> </w:t>
      </w:r>
      <w:r w:rsidR="00286E5F">
        <w:rPr>
          <w:rFonts w:ascii="Arial" w:hAnsi="Arial" w:cs="Arial"/>
          <w:b/>
          <w:sz w:val="22"/>
          <w:szCs w:val="22"/>
        </w:rPr>
        <w:t>1150</w:t>
      </w:r>
      <w:r w:rsidR="00AD00CE" w:rsidRPr="008A1D98">
        <w:rPr>
          <w:rFonts w:ascii="Arial" w:hAnsi="Arial" w:cs="Arial"/>
          <w:b/>
          <w:sz w:val="22"/>
          <w:szCs w:val="22"/>
        </w:rPr>
        <w:t xml:space="preserve"> [</w:t>
      </w:r>
      <w:r w:rsidR="002D3CF5" w:rsidRPr="008A1D98">
        <w:rPr>
          <w:rFonts w:ascii="Arial" w:hAnsi="Arial" w:cs="Arial"/>
          <w:b/>
          <w:sz w:val="22"/>
          <w:szCs w:val="22"/>
        </w:rPr>
        <w:t>N</w:t>
      </w:r>
      <w:r w:rsidR="00AD00CE" w:rsidRPr="008A1D98">
        <w:rPr>
          <w:rFonts w:ascii="Arial" w:hAnsi="Arial" w:cs="Arial"/>
          <w:b/>
          <w:sz w:val="22"/>
          <w:szCs w:val="22"/>
        </w:rPr>
        <w:t>W</w:t>
      </w:r>
      <w:r w:rsidR="008A1D98" w:rsidRPr="008A1D98">
        <w:rPr>
          <w:rFonts w:ascii="Arial" w:hAnsi="Arial" w:cs="Arial"/>
          <w:b/>
          <w:sz w:val="22"/>
          <w:szCs w:val="22"/>
        </w:rPr>
        <w:t>12</w:t>
      </w:r>
      <w:r w:rsidR="00286E5F">
        <w:rPr>
          <w:rFonts w:ascii="Arial" w:hAnsi="Arial" w:cs="Arial"/>
          <w:b/>
          <w:sz w:val="22"/>
          <w:szCs w:val="22"/>
        </w:rPr>
        <w:t>90</w:t>
      </w:r>
      <w:r w:rsidR="00AD00CE" w:rsidRPr="008A1D98">
        <w:rPr>
          <w:rFonts w:ascii="Arial" w:hAnsi="Arial" w:cs="Arial"/>
          <w:b/>
          <w:sz w:val="22"/>
          <w:szCs w:val="22"/>
        </w:rPr>
        <w:t>E]</w:t>
      </w:r>
    </w:p>
    <w:p w:rsidR="00C312EA" w:rsidRPr="008A1D9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 xml:space="preserve">DATE OF PUBLICATION: </w:t>
      </w:r>
      <w:r w:rsidR="008A1D98" w:rsidRPr="008A1D98">
        <w:rPr>
          <w:rFonts w:ascii="Arial" w:hAnsi="Arial" w:cs="Arial"/>
          <w:b/>
          <w:sz w:val="22"/>
          <w:szCs w:val="22"/>
        </w:rPr>
        <w:t>15 MAY 2017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86E5F" w:rsidRPr="00AF6850" w:rsidRDefault="00286E5F" w:rsidP="00286E5F">
      <w:pPr>
        <w:spacing w:after="267" w:line="276" w:lineRule="auto"/>
        <w:ind w:left="818" w:hanging="818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AF6850">
        <w:rPr>
          <w:rFonts w:ascii="Arial" w:eastAsia="Calibri" w:hAnsi="Arial" w:cs="Arial"/>
          <w:b/>
          <w:noProof/>
          <w:sz w:val="22"/>
          <w:szCs w:val="22"/>
          <w:lang w:val="af-ZA"/>
        </w:rPr>
        <w:t>1150.</w:t>
      </w:r>
      <w:r w:rsidRPr="00AF6850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A M Figlan (</w:t>
      </w:r>
      <w:r w:rsidRPr="00AF6850">
        <w:rPr>
          <w:rFonts w:ascii="Arial" w:eastAsia="Calibri" w:hAnsi="Arial" w:cs="Arial"/>
          <w:b/>
          <w:sz w:val="22"/>
          <w:szCs w:val="22"/>
          <w:lang w:val="en-ZA"/>
        </w:rPr>
        <w:t>DA</w:t>
      </w:r>
      <w:r w:rsidRPr="00AF6850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) to ask the </w:t>
      </w:r>
      <w:r w:rsidRPr="00AF6850">
        <w:rPr>
          <w:rFonts w:ascii="Arial" w:eastAsia="Calibri" w:hAnsi="Arial" w:cs="Arial"/>
          <w:b/>
          <w:sz w:val="22"/>
          <w:szCs w:val="22"/>
          <w:lang w:val="en-ZA"/>
        </w:rPr>
        <w:t>Minister</w:t>
      </w:r>
      <w:r w:rsidRPr="00AF6850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of Finance:</w:t>
      </w:r>
    </w:p>
    <w:p w:rsidR="00286E5F" w:rsidRPr="00AF6850" w:rsidRDefault="00286E5F" w:rsidP="00286E5F">
      <w:pPr>
        <w:spacing w:before="100" w:beforeAutospacing="1" w:after="100" w:afterAutospacing="1" w:line="276" w:lineRule="auto"/>
        <w:ind w:left="810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AF6850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Whether, in view of the fact that public entities are governed by the Public Finance Management Act, Act 1 of 1999, Treasury Regulations, the Companies Act, Act 71 of 2008, </w:t>
      </w:r>
      <w:r w:rsidRPr="00AF6850">
        <w:rPr>
          <w:rFonts w:ascii="Arial" w:eastAsia="Calibri" w:hAnsi="Arial" w:cs="Arial"/>
          <w:noProof/>
          <w:sz w:val="22"/>
          <w:szCs w:val="22"/>
          <w:lang w:val="af-ZA"/>
        </w:rPr>
        <w:t>Codes</w:t>
      </w:r>
      <w:r w:rsidRPr="00AF6850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of Good Governance and their own set of founding acts, there are adequate monitoring mechanisms to establish if (a) transfer payments are </w:t>
      </w:r>
      <w:r w:rsidRPr="00AF6850">
        <w:rPr>
          <w:rFonts w:ascii="Arial" w:eastAsia="Calibri" w:hAnsi="Arial" w:cs="Arial"/>
          <w:noProof/>
          <w:sz w:val="22"/>
          <w:szCs w:val="22"/>
          <w:lang w:val="af-ZA"/>
        </w:rPr>
        <w:t>properly</w:t>
      </w:r>
      <w:r w:rsidRPr="00AF6850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spent and (b) the Government is getting value for its money; if not, what is the position in each case; if so, what are the relevant details of such mechanisms</w:t>
      </w:r>
      <w:r w:rsidRPr="00AF6850">
        <w:rPr>
          <w:rFonts w:ascii="Arial" w:eastAsia="Calibri" w:hAnsi="Arial" w:cs="Arial"/>
          <w:sz w:val="22"/>
          <w:szCs w:val="22"/>
          <w:lang w:val="en-ZA"/>
        </w:rPr>
        <w:t>?</w:t>
      </w:r>
      <w:r w:rsidRPr="00AF6850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286E5F" w:rsidRPr="00AF6850" w:rsidRDefault="00286E5F" w:rsidP="00AF6850">
      <w:pPr>
        <w:spacing w:before="100" w:beforeAutospacing="1" w:after="100" w:afterAutospacing="1" w:line="276" w:lineRule="auto"/>
        <w:ind w:left="7290" w:firstLine="630"/>
        <w:jc w:val="right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AF6850">
        <w:rPr>
          <w:rFonts w:ascii="Arial" w:eastAsia="Calibri" w:hAnsi="Arial" w:cs="Arial"/>
          <w:sz w:val="22"/>
          <w:szCs w:val="22"/>
          <w:lang w:val="en-ZA"/>
        </w:rPr>
        <w:t>NW1290E</w:t>
      </w:r>
    </w:p>
    <w:p w:rsidR="00AF6850" w:rsidRDefault="00AF6850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AF6850" w:rsidRDefault="00AF6850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433AE" w:rsidRPr="00AF6850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AF6850">
        <w:rPr>
          <w:rFonts w:ascii="Arial" w:hAnsi="Arial" w:cs="Arial"/>
          <w:b/>
          <w:sz w:val="22"/>
          <w:szCs w:val="22"/>
        </w:rPr>
        <w:t>REPLY:</w:t>
      </w:r>
    </w:p>
    <w:p w:rsidR="001E6902" w:rsidRPr="00AF6850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AF6850" w:rsidRDefault="00252E58" w:rsidP="00252E58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50">
        <w:rPr>
          <w:rFonts w:ascii="Arial" w:hAnsi="Arial" w:cs="Arial"/>
          <w:sz w:val="22"/>
          <w:szCs w:val="22"/>
        </w:rPr>
        <w:t>Departmental transfers to public entities is governed by</w:t>
      </w:r>
      <w:r w:rsidR="00B020F1" w:rsidRPr="00AF6850">
        <w:rPr>
          <w:rFonts w:ascii="Arial" w:hAnsi="Arial" w:cs="Arial"/>
          <w:sz w:val="22"/>
          <w:szCs w:val="22"/>
        </w:rPr>
        <w:t xml:space="preserve"> section 38(1</w:t>
      </w:r>
      <w:proofErr w:type="gramStart"/>
      <w:r w:rsidR="00B020F1" w:rsidRPr="00AF6850">
        <w:rPr>
          <w:rFonts w:ascii="Arial" w:hAnsi="Arial" w:cs="Arial"/>
          <w:sz w:val="22"/>
          <w:szCs w:val="22"/>
        </w:rPr>
        <w:t>)(</w:t>
      </w:r>
      <w:proofErr w:type="gramEnd"/>
      <w:r w:rsidR="00B020F1" w:rsidRPr="00AF6850">
        <w:rPr>
          <w:rFonts w:ascii="Arial" w:hAnsi="Arial" w:cs="Arial"/>
          <w:sz w:val="22"/>
          <w:szCs w:val="22"/>
        </w:rPr>
        <w:t>j)</w:t>
      </w:r>
      <w:r w:rsidRPr="00AF6850">
        <w:rPr>
          <w:rFonts w:ascii="Arial" w:hAnsi="Arial" w:cs="Arial"/>
          <w:sz w:val="22"/>
          <w:szCs w:val="22"/>
        </w:rPr>
        <w:t xml:space="preserve"> of the Public Finance Management Act</w:t>
      </w:r>
      <w:r w:rsidR="00B020F1" w:rsidRPr="00AF6850">
        <w:rPr>
          <w:rFonts w:ascii="Arial" w:hAnsi="Arial" w:cs="Arial"/>
          <w:sz w:val="22"/>
          <w:szCs w:val="22"/>
        </w:rPr>
        <w:t>. Treasury regulation 8.4 sets out the framework</w:t>
      </w:r>
      <w:r w:rsidRPr="00AF6850">
        <w:rPr>
          <w:rFonts w:ascii="Arial" w:hAnsi="Arial" w:cs="Arial"/>
          <w:sz w:val="22"/>
          <w:szCs w:val="22"/>
        </w:rPr>
        <w:t xml:space="preserve"> for transfers and subsidies.</w:t>
      </w:r>
      <w:r w:rsidR="00AF6850" w:rsidRPr="00AF6850">
        <w:rPr>
          <w:rFonts w:ascii="Arial" w:hAnsi="Arial" w:cs="Arial"/>
          <w:sz w:val="22"/>
          <w:szCs w:val="22"/>
        </w:rPr>
        <w:t xml:space="preserve">  </w:t>
      </w:r>
      <w:r w:rsidRPr="00AF6850">
        <w:rPr>
          <w:rFonts w:ascii="Arial" w:hAnsi="Arial" w:cs="Arial"/>
          <w:sz w:val="22"/>
          <w:szCs w:val="22"/>
        </w:rPr>
        <w:t>In terms of Treasury Regulation 8.4.1, the accounting officer of a department must maintain appropriate measures to ensure that transfers to public entities are applied for intended purposes. This includes, but is not limited to</w:t>
      </w:r>
      <w:r w:rsidR="00956D77" w:rsidRPr="00AF6850">
        <w:rPr>
          <w:rFonts w:ascii="Arial" w:hAnsi="Arial" w:cs="Arial"/>
          <w:sz w:val="22"/>
          <w:szCs w:val="22"/>
        </w:rPr>
        <w:t>,</w:t>
      </w:r>
      <w:r w:rsidRPr="00AF6850">
        <w:rPr>
          <w:rFonts w:ascii="Arial" w:hAnsi="Arial" w:cs="Arial"/>
          <w:sz w:val="22"/>
          <w:szCs w:val="22"/>
        </w:rPr>
        <w:t xml:space="preserve"> regular reporting procedures, internal and external audit requirements, regular monitoring procedures and scheduled and unscheduled inspection visits or reviews of performance.</w:t>
      </w:r>
    </w:p>
    <w:p w:rsidR="00252E58" w:rsidRPr="00AF6850" w:rsidRDefault="00252E58" w:rsidP="00252E58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E58" w:rsidRPr="00AF6850" w:rsidRDefault="00252E58" w:rsidP="00252E58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50">
        <w:rPr>
          <w:rFonts w:ascii="Arial" w:hAnsi="Arial" w:cs="Arial"/>
          <w:sz w:val="22"/>
          <w:szCs w:val="22"/>
        </w:rPr>
        <w:t>Public entities strategic plans and annual performance plans are approved by the relevant Executive Authority and tabled in Parliament.</w:t>
      </w:r>
      <w:r w:rsidR="00AF6850" w:rsidRPr="00AF6850">
        <w:rPr>
          <w:rFonts w:ascii="Arial" w:hAnsi="Arial" w:cs="Arial"/>
          <w:sz w:val="22"/>
          <w:szCs w:val="22"/>
        </w:rPr>
        <w:t xml:space="preserve">  </w:t>
      </w:r>
      <w:r w:rsidRPr="00AF6850">
        <w:rPr>
          <w:rFonts w:ascii="Arial" w:hAnsi="Arial" w:cs="Arial"/>
          <w:sz w:val="22"/>
          <w:szCs w:val="22"/>
        </w:rPr>
        <w:t>These plans set out performance targets for public entities and in terms of Treasury Regulation 8.4.2, the accounting officer of a department may withhold transfers and subsidies to a public entity if, amongst others, the agreed objectives have not been attained and the transfer does not provide the value for money in relation to its purpose or objectives.</w:t>
      </w:r>
    </w:p>
    <w:p w:rsidR="00AF6850" w:rsidRPr="00AF6850" w:rsidRDefault="00AF6850" w:rsidP="00AF6850">
      <w:pPr>
        <w:tabs>
          <w:tab w:val="left" w:pos="16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50">
        <w:rPr>
          <w:rFonts w:ascii="Arial" w:hAnsi="Arial" w:cs="Arial"/>
          <w:sz w:val="22"/>
          <w:szCs w:val="22"/>
        </w:rPr>
        <w:tab/>
      </w:r>
    </w:p>
    <w:p w:rsidR="00956D77" w:rsidRPr="00AF6850" w:rsidRDefault="00956D77" w:rsidP="00252E58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50">
        <w:rPr>
          <w:rFonts w:ascii="Arial" w:hAnsi="Arial" w:cs="Arial"/>
          <w:sz w:val="22"/>
          <w:szCs w:val="22"/>
        </w:rPr>
        <w:lastRenderedPageBreak/>
        <w:t>Treasury regulation 5.3.1 requires accounting officers of departments to establish procedures for quarterly reporting for effective performance monitoring, evaluation and corrective action.</w:t>
      </w:r>
    </w:p>
    <w:p w:rsidR="00AF6850" w:rsidRPr="00AF6850" w:rsidRDefault="00AF6850" w:rsidP="008A1D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F6850" w:rsidRPr="00AF6850" w:rsidRDefault="00AF6850" w:rsidP="008A1D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sectPr w:rsidR="00AF6850" w:rsidRPr="00AF6850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D3" w:rsidRDefault="009D20D3" w:rsidP="00AF6850">
      <w:r>
        <w:separator/>
      </w:r>
    </w:p>
  </w:endnote>
  <w:endnote w:type="continuationSeparator" w:id="0">
    <w:p w:rsidR="009D20D3" w:rsidRDefault="009D20D3" w:rsidP="00AF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D3" w:rsidRDefault="009D20D3" w:rsidP="00AF6850">
      <w:r>
        <w:separator/>
      </w:r>
    </w:p>
  </w:footnote>
  <w:footnote w:type="continuationSeparator" w:id="0">
    <w:p w:rsidR="009D20D3" w:rsidRDefault="009D20D3" w:rsidP="00AF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1"/>
    <w:rsid w:val="00020C04"/>
    <w:rsid w:val="0004324C"/>
    <w:rsid w:val="000C48D8"/>
    <w:rsid w:val="000C5B0C"/>
    <w:rsid w:val="000F3B14"/>
    <w:rsid w:val="001433AE"/>
    <w:rsid w:val="0015727B"/>
    <w:rsid w:val="001713D2"/>
    <w:rsid w:val="0017192B"/>
    <w:rsid w:val="001B0917"/>
    <w:rsid w:val="001E3FB5"/>
    <w:rsid w:val="001E6902"/>
    <w:rsid w:val="00252E58"/>
    <w:rsid w:val="00286E5F"/>
    <w:rsid w:val="002D3CF5"/>
    <w:rsid w:val="002E2514"/>
    <w:rsid w:val="002F6E86"/>
    <w:rsid w:val="003421BD"/>
    <w:rsid w:val="0040364A"/>
    <w:rsid w:val="00415B6C"/>
    <w:rsid w:val="00426835"/>
    <w:rsid w:val="005141B3"/>
    <w:rsid w:val="00517F7E"/>
    <w:rsid w:val="00574E19"/>
    <w:rsid w:val="00613FC6"/>
    <w:rsid w:val="006239F1"/>
    <w:rsid w:val="00624D20"/>
    <w:rsid w:val="0062770E"/>
    <w:rsid w:val="0064275F"/>
    <w:rsid w:val="00645C51"/>
    <w:rsid w:val="00647EF2"/>
    <w:rsid w:val="00653A85"/>
    <w:rsid w:val="007118EA"/>
    <w:rsid w:val="00726A9C"/>
    <w:rsid w:val="007359BF"/>
    <w:rsid w:val="007914E0"/>
    <w:rsid w:val="007A32AF"/>
    <w:rsid w:val="007B1BA1"/>
    <w:rsid w:val="007F119D"/>
    <w:rsid w:val="00891265"/>
    <w:rsid w:val="008A1D98"/>
    <w:rsid w:val="008C2559"/>
    <w:rsid w:val="00911717"/>
    <w:rsid w:val="009163A5"/>
    <w:rsid w:val="00953363"/>
    <w:rsid w:val="00956D77"/>
    <w:rsid w:val="0096007E"/>
    <w:rsid w:val="009845B2"/>
    <w:rsid w:val="009A18A7"/>
    <w:rsid w:val="009D20D3"/>
    <w:rsid w:val="009E021A"/>
    <w:rsid w:val="009F125F"/>
    <w:rsid w:val="00A27751"/>
    <w:rsid w:val="00A525F0"/>
    <w:rsid w:val="00A72B9B"/>
    <w:rsid w:val="00AC7E4D"/>
    <w:rsid w:val="00AD00CE"/>
    <w:rsid w:val="00AD5C9B"/>
    <w:rsid w:val="00AF6850"/>
    <w:rsid w:val="00B020F1"/>
    <w:rsid w:val="00B447E6"/>
    <w:rsid w:val="00B70D1F"/>
    <w:rsid w:val="00B77F67"/>
    <w:rsid w:val="00B86983"/>
    <w:rsid w:val="00BD31C6"/>
    <w:rsid w:val="00C25C7E"/>
    <w:rsid w:val="00C312EA"/>
    <w:rsid w:val="00C44C35"/>
    <w:rsid w:val="00C60822"/>
    <w:rsid w:val="00CC2F3E"/>
    <w:rsid w:val="00DB2463"/>
    <w:rsid w:val="00DC41DF"/>
    <w:rsid w:val="00DC5681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AF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68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F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68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AF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68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F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68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ocuments\NATIONAL%20ASSEMB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3D8B-E620-4B4B-8AD8-2FDDCBD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ASSEMBLY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2017-05-26T10:15:00Z</cp:lastPrinted>
  <dcterms:created xsi:type="dcterms:W3CDTF">2017-05-31T12:02:00Z</dcterms:created>
  <dcterms:modified xsi:type="dcterms:W3CDTF">2017-05-31T15:06:00Z</dcterms:modified>
</cp:coreProperties>
</file>