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BC5A3F">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AB5748">
        <w:rPr>
          <w:rFonts w:ascii="Arial" w:hAnsi="Arial" w:cs="Arial"/>
          <w:b/>
          <w:sz w:val="22"/>
          <w:szCs w:val="22"/>
        </w:rPr>
        <w:t>115</w:t>
      </w:r>
      <w:r w:rsidRPr="00E938DE">
        <w:rPr>
          <w:rFonts w:ascii="Arial" w:hAnsi="Arial" w:cs="Arial"/>
          <w:b/>
          <w:sz w:val="22"/>
          <w:szCs w:val="22"/>
        </w:rPr>
        <w:t>[</w:t>
      </w:r>
      <w:r w:rsidR="00E938DE" w:rsidRPr="00E938DE">
        <w:rPr>
          <w:rFonts w:ascii="Arial" w:hAnsi="Arial" w:cs="Arial"/>
          <w:b/>
          <w:sz w:val="22"/>
          <w:szCs w:val="22"/>
        </w:rPr>
        <w:t>NW</w:t>
      </w:r>
      <w:r w:rsidR="00AB5748">
        <w:rPr>
          <w:rFonts w:ascii="Arial" w:hAnsi="Arial" w:cs="Arial"/>
          <w:b/>
          <w:sz w:val="22"/>
          <w:szCs w:val="22"/>
        </w:rPr>
        <w:t>127</w:t>
      </w:r>
      <w:r w:rsidRPr="00E938DE">
        <w:rPr>
          <w:rFonts w:ascii="Arial" w:hAnsi="Arial" w:cs="Arial"/>
          <w:b/>
          <w:sz w:val="22"/>
          <w:szCs w:val="22"/>
          <w:lang w:val="en-ZA"/>
        </w:rPr>
        <w:t>E</w:t>
      </w:r>
      <w:r w:rsidRPr="00E938DE">
        <w:rPr>
          <w:rFonts w:ascii="Arial" w:hAnsi="Arial" w:cs="Arial"/>
          <w:b/>
          <w:sz w:val="22"/>
          <w:szCs w:val="22"/>
        </w:rPr>
        <w:t>]</w:t>
      </w:r>
      <w:bookmarkEnd w:id="1"/>
    </w:p>
    <w:bookmarkEnd w:id="0"/>
    <w:p w:rsidR="008E3D62" w:rsidRPr="00AB5748" w:rsidRDefault="008E3D62" w:rsidP="00AB5748">
      <w:pPr>
        <w:spacing w:line="276" w:lineRule="auto"/>
        <w:jc w:val="both"/>
        <w:rPr>
          <w:rFonts w:ascii="Arial" w:hAnsi="Arial" w:cs="Arial"/>
          <w:b/>
          <w:sz w:val="22"/>
          <w:szCs w:val="22"/>
        </w:rPr>
      </w:pPr>
    </w:p>
    <w:p w:rsidR="00AB5748" w:rsidRPr="00AB5748" w:rsidRDefault="00AB5748" w:rsidP="00AB5748">
      <w:pPr>
        <w:spacing w:before="100" w:beforeAutospacing="1" w:after="100" w:afterAutospacing="1" w:line="276" w:lineRule="auto"/>
        <w:ind w:left="720" w:hanging="720"/>
        <w:jc w:val="both"/>
        <w:outlineLvl w:val="0"/>
        <w:rPr>
          <w:rFonts w:ascii="Arial" w:hAnsi="Arial" w:cs="Arial"/>
          <w:b/>
          <w:sz w:val="22"/>
          <w:szCs w:val="22"/>
          <w:lang w:val="en-ZA"/>
        </w:rPr>
      </w:pPr>
      <w:r w:rsidRPr="00AB5748">
        <w:rPr>
          <w:rFonts w:ascii="Arial" w:hAnsi="Arial" w:cs="Arial"/>
          <w:b/>
          <w:sz w:val="22"/>
          <w:szCs w:val="22"/>
        </w:rPr>
        <w:t>115.</w:t>
      </w:r>
      <w:r w:rsidRPr="00AB5748">
        <w:rPr>
          <w:rFonts w:ascii="Arial" w:hAnsi="Arial" w:cs="Arial"/>
          <w:b/>
          <w:sz w:val="22"/>
          <w:szCs w:val="22"/>
        </w:rPr>
        <w:tab/>
        <w:t>Mr A M Shaik Emam (NFP) to ask the Minister of Finance</w:t>
      </w:r>
      <w:r w:rsidR="00840F65" w:rsidRPr="00AB5748">
        <w:rPr>
          <w:rFonts w:ascii="Arial" w:hAnsi="Arial" w:cs="Arial"/>
          <w:b/>
          <w:sz w:val="22"/>
          <w:szCs w:val="22"/>
        </w:rPr>
        <w:fldChar w:fldCharType="begin"/>
      </w:r>
      <w:r w:rsidRPr="00AB5748">
        <w:rPr>
          <w:rFonts w:ascii="Arial" w:hAnsi="Arial" w:cs="Arial"/>
          <w:sz w:val="22"/>
          <w:szCs w:val="22"/>
        </w:rPr>
        <w:instrText xml:space="preserve"> XE "</w:instrText>
      </w:r>
      <w:r w:rsidRPr="00AB5748">
        <w:rPr>
          <w:rFonts w:ascii="Arial" w:hAnsi="Arial" w:cs="Arial"/>
          <w:b/>
          <w:sz w:val="22"/>
          <w:szCs w:val="22"/>
        </w:rPr>
        <w:instrText>Finance</w:instrText>
      </w:r>
      <w:r w:rsidRPr="00AB5748">
        <w:rPr>
          <w:rFonts w:ascii="Arial" w:hAnsi="Arial" w:cs="Arial"/>
          <w:sz w:val="22"/>
          <w:szCs w:val="22"/>
        </w:rPr>
        <w:instrText xml:space="preserve">" </w:instrText>
      </w:r>
      <w:r w:rsidR="00840F65" w:rsidRPr="00AB5748">
        <w:rPr>
          <w:rFonts w:ascii="Arial" w:hAnsi="Arial" w:cs="Arial"/>
          <w:b/>
          <w:sz w:val="22"/>
          <w:szCs w:val="22"/>
        </w:rPr>
        <w:fldChar w:fldCharType="end"/>
      </w:r>
      <w:r w:rsidRPr="00AB5748">
        <w:rPr>
          <w:rFonts w:ascii="Arial" w:hAnsi="Arial" w:cs="Arial"/>
          <w:b/>
          <w:sz w:val="22"/>
          <w:szCs w:val="22"/>
        </w:rPr>
        <w:t>:</w:t>
      </w:r>
    </w:p>
    <w:p w:rsidR="00AB5748" w:rsidRPr="00AB5748" w:rsidRDefault="00AB5748" w:rsidP="00AB5748">
      <w:pPr>
        <w:spacing w:before="100" w:beforeAutospacing="1" w:after="100" w:afterAutospacing="1" w:line="276" w:lineRule="auto"/>
        <w:ind w:left="709" w:firstLine="11"/>
        <w:jc w:val="both"/>
        <w:rPr>
          <w:rFonts w:ascii="Arial" w:hAnsi="Arial" w:cs="Arial"/>
          <w:sz w:val="22"/>
          <w:szCs w:val="22"/>
        </w:rPr>
      </w:pPr>
      <w:r w:rsidRPr="00AB5748">
        <w:rPr>
          <w:rFonts w:ascii="Arial" w:eastAsia="Arial Unicode MS" w:hAnsi="Arial" w:cs="Arial"/>
          <w:sz w:val="22"/>
          <w:szCs w:val="22"/>
          <w:bdr w:val="none" w:sz="0" w:space="0" w:color="auto" w:frame="1"/>
        </w:rPr>
        <w:t xml:space="preserve">What </w:t>
      </w:r>
      <w:r w:rsidRPr="00AB5748">
        <w:rPr>
          <w:rFonts w:ascii="Arial" w:hAnsi="Arial" w:cs="Arial"/>
          <w:sz w:val="22"/>
          <w:szCs w:val="22"/>
        </w:rPr>
        <w:t>measures</w:t>
      </w:r>
      <w:r w:rsidRPr="00AB5748">
        <w:rPr>
          <w:rFonts w:ascii="Arial" w:eastAsia="Arial Unicode MS" w:hAnsi="Arial" w:cs="Arial"/>
          <w:sz w:val="22"/>
          <w:szCs w:val="22"/>
          <w:bdr w:val="none" w:sz="0" w:space="0" w:color="auto" w:frame="1"/>
        </w:rPr>
        <w:t xml:space="preserve"> does he intend to put in place regarding the mass looting that takes place in the Government’s supply chain processes which results in billions that are lost annually</w:t>
      </w:r>
      <w:r w:rsidRPr="00AB5748">
        <w:rPr>
          <w:rFonts w:ascii="Arial" w:eastAsia="Calibri" w:hAnsi="Arial" w:cs="Arial"/>
          <w:sz w:val="22"/>
          <w:szCs w:val="22"/>
        </w:rPr>
        <w:t>?</w:t>
      </w:r>
      <w:r w:rsidRPr="00AB5748">
        <w:rPr>
          <w:rFonts w:ascii="Arial" w:hAnsi="Arial" w:cs="Arial"/>
          <w:color w:val="000000" w:themeColor="text1"/>
          <w:sz w:val="22"/>
          <w:szCs w:val="22"/>
        </w:rPr>
        <w:tab/>
      </w:r>
      <w:r w:rsidRPr="00AB5748">
        <w:rPr>
          <w:rFonts w:ascii="Arial" w:hAnsi="Arial" w:cs="Arial"/>
          <w:color w:val="000000" w:themeColor="text1"/>
          <w:sz w:val="22"/>
          <w:szCs w:val="22"/>
        </w:rPr>
        <w:tab/>
      </w:r>
      <w:r w:rsidRPr="00AB5748">
        <w:rPr>
          <w:rFonts w:ascii="Arial" w:hAnsi="Arial" w:cs="Arial"/>
          <w:color w:val="000000" w:themeColor="text1"/>
          <w:sz w:val="22"/>
          <w:szCs w:val="22"/>
        </w:rPr>
        <w:tab/>
      </w:r>
      <w:r w:rsidRPr="00AB5748">
        <w:rPr>
          <w:rFonts w:ascii="Arial" w:hAnsi="Arial" w:cs="Arial"/>
          <w:color w:val="000000" w:themeColor="text1"/>
          <w:sz w:val="22"/>
          <w:szCs w:val="22"/>
        </w:rPr>
        <w:tab/>
      </w:r>
      <w:r w:rsidRPr="00AB5748">
        <w:rPr>
          <w:rFonts w:ascii="Arial" w:hAnsi="Arial" w:cs="Arial"/>
          <w:color w:val="000000" w:themeColor="text1"/>
          <w:sz w:val="22"/>
          <w:szCs w:val="22"/>
        </w:rPr>
        <w:tab/>
      </w:r>
      <w:r w:rsidRPr="00AB5748">
        <w:rPr>
          <w:rFonts w:ascii="Arial" w:hAnsi="Arial" w:cs="Arial"/>
          <w:color w:val="000000" w:themeColor="text1"/>
          <w:sz w:val="22"/>
          <w:szCs w:val="22"/>
        </w:rPr>
        <w:tab/>
      </w:r>
      <w:r w:rsidR="005F5226">
        <w:rPr>
          <w:rFonts w:ascii="Arial" w:hAnsi="Arial" w:cs="Arial"/>
          <w:color w:val="000000" w:themeColor="text1"/>
          <w:sz w:val="22"/>
          <w:szCs w:val="22"/>
        </w:rPr>
        <w:tab/>
      </w:r>
      <w:r w:rsidR="005F5226">
        <w:rPr>
          <w:rFonts w:ascii="Arial" w:hAnsi="Arial" w:cs="Arial"/>
          <w:color w:val="000000" w:themeColor="text1"/>
          <w:sz w:val="22"/>
          <w:szCs w:val="22"/>
        </w:rPr>
        <w:tab/>
      </w:r>
      <w:r w:rsidRPr="00AB5748">
        <w:rPr>
          <w:rFonts w:ascii="Arial" w:hAnsi="Arial" w:cs="Arial"/>
          <w:color w:val="000000" w:themeColor="text1"/>
          <w:sz w:val="22"/>
          <w:szCs w:val="22"/>
        </w:rPr>
        <w:tab/>
      </w:r>
      <w:r w:rsidRPr="00AB5748">
        <w:rPr>
          <w:rFonts w:ascii="Arial" w:hAnsi="Arial" w:cs="Arial"/>
          <w:color w:val="000000" w:themeColor="text1"/>
          <w:sz w:val="22"/>
          <w:szCs w:val="22"/>
        </w:rPr>
        <w:tab/>
      </w:r>
      <w:r w:rsidRPr="00AB5748">
        <w:rPr>
          <w:rFonts w:ascii="Arial" w:hAnsi="Arial" w:cs="Arial"/>
          <w:color w:val="000000" w:themeColor="text1"/>
          <w:sz w:val="22"/>
          <w:szCs w:val="22"/>
        </w:rPr>
        <w:tab/>
        <w:t>NW127E</w:t>
      </w:r>
    </w:p>
    <w:p w:rsidR="008E3D62" w:rsidRDefault="008E3D62" w:rsidP="00AB5748">
      <w:pPr>
        <w:spacing w:before="100" w:beforeAutospacing="1" w:after="100" w:afterAutospacing="1" w:line="276" w:lineRule="auto"/>
        <w:jc w:val="both"/>
        <w:outlineLvl w:val="0"/>
        <w:rPr>
          <w:rFonts w:ascii="Arial" w:hAnsi="Arial" w:cs="Arial"/>
          <w:sz w:val="22"/>
          <w:szCs w:val="22"/>
        </w:rPr>
      </w:pPr>
      <w:r w:rsidRPr="00AB5748">
        <w:rPr>
          <w:rFonts w:ascii="Arial" w:hAnsi="Arial" w:cs="Arial"/>
          <w:b/>
          <w:sz w:val="22"/>
          <w:szCs w:val="22"/>
        </w:rPr>
        <w:t>REPLY</w:t>
      </w:r>
      <w:r w:rsidRPr="00AB5748">
        <w:rPr>
          <w:rFonts w:ascii="Arial" w:hAnsi="Arial" w:cs="Arial"/>
          <w:sz w:val="22"/>
          <w:szCs w:val="22"/>
        </w:rPr>
        <w:t>:</w:t>
      </w:r>
    </w:p>
    <w:p w:rsidR="009C26FD" w:rsidRDefault="009C26FD" w:rsidP="00AB5748">
      <w:pPr>
        <w:spacing w:before="100" w:beforeAutospacing="1" w:after="100" w:afterAutospacing="1" w:line="276" w:lineRule="auto"/>
        <w:jc w:val="both"/>
        <w:outlineLvl w:val="0"/>
        <w:rPr>
          <w:rFonts w:ascii="Arial" w:eastAsia="Arial Unicode MS" w:hAnsi="Arial" w:cs="Arial"/>
          <w:sz w:val="22"/>
          <w:szCs w:val="22"/>
          <w:bdr w:val="none" w:sz="0" w:space="0" w:color="auto" w:frame="1"/>
        </w:rPr>
      </w:pPr>
    </w:p>
    <w:p w:rsidR="00722132" w:rsidRPr="009C26FD" w:rsidRDefault="00722132" w:rsidP="009C26FD">
      <w:pPr>
        <w:pStyle w:val="ListParagraph"/>
        <w:numPr>
          <w:ilvl w:val="0"/>
          <w:numId w:val="13"/>
        </w:numPr>
        <w:spacing w:before="100" w:beforeAutospacing="1" w:after="240" w:line="360" w:lineRule="auto"/>
        <w:ind w:left="567" w:hanging="567"/>
        <w:contextualSpacing w:val="0"/>
        <w:jc w:val="both"/>
        <w:outlineLvl w:val="0"/>
        <w:rPr>
          <w:rFonts w:ascii="Arial" w:eastAsia="Arial Unicode MS" w:hAnsi="Arial" w:cs="Arial"/>
          <w:sz w:val="22"/>
          <w:szCs w:val="22"/>
          <w:bdr w:val="none" w:sz="0" w:space="0" w:color="auto" w:frame="1"/>
        </w:rPr>
      </w:pPr>
      <w:r w:rsidRPr="009C26FD">
        <w:rPr>
          <w:rFonts w:ascii="Arial" w:eastAsia="Arial Unicode MS" w:hAnsi="Arial" w:cs="Arial"/>
          <w:sz w:val="22"/>
          <w:szCs w:val="22"/>
          <w:bdr w:val="none" w:sz="0" w:space="0" w:color="auto" w:frame="1"/>
        </w:rPr>
        <w:t>The review of the existing procurement regulatory framework through the Public Procurement Bill is a measure that will be put in place to prevent the mass looting that takes place in the Government’s supply chain management processes. The Draft Public Procurement Bill makes the following provisions:</w:t>
      </w:r>
    </w:p>
    <w:p w:rsidR="00722132" w:rsidRDefault="00722132" w:rsidP="009C26FD">
      <w:pPr>
        <w:pStyle w:val="ListParagraph"/>
        <w:numPr>
          <w:ilvl w:val="0"/>
          <w:numId w:val="14"/>
        </w:numPr>
        <w:spacing w:before="100" w:beforeAutospacing="1" w:after="100" w:afterAutospacing="1" w:line="360" w:lineRule="auto"/>
        <w:ind w:left="1134" w:hanging="567"/>
        <w:jc w:val="both"/>
        <w:outlineLvl w:val="0"/>
        <w:rPr>
          <w:rFonts w:ascii="Arial" w:eastAsia="Arial Unicode MS" w:hAnsi="Arial" w:cs="Arial"/>
          <w:sz w:val="22"/>
          <w:szCs w:val="22"/>
          <w:bdr w:val="none" w:sz="0" w:space="0" w:color="auto" w:frame="1"/>
        </w:rPr>
      </w:pPr>
      <w:r w:rsidRPr="00EC674F">
        <w:rPr>
          <w:rFonts w:ascii="Arial" w:eastAsia="Arial Unicode MS" w:hAnsi="Arial" w:cs="Arial"/>
          <w:sz w:val="22"/>
          <w:szCs w:val="22"/>
          <w:bdr w:val="none" w:sz="0" w:space="0" w:color="auto" w:frame="1"/>
        </w:rPr>
        <w:t>A directive to all Accounting Officers and Accounting Authorities on what measures to put in place within their respective institutions to prevent the abuse of the supply chain management system;</w:t>
      </w:r>
    </w:p>
    <w:p w:rsidR="00722132" w:rsidRDefault="00722132" w:rsidP="009C26FD">
      <w:pPr>
        <w:pStyle w:val="ListParagraph"/>
        <w:numPr>
          <w:ilvl w:val="0"/>
          <w:numId w:val="14"/>
        </w:numPr>
        <w:spacing w:before="100" w:beforeAutospacing="1" w:after="100" w:afterAutospacing="1" w:line="360" w:lineRule="auto"/>
        <w:ind w:left="1134" w:hanging="567"/>
        <w:jc w:val="both"/>
        <w:outlineLvl w:val="0"/>
        <w:rPr>
          <w:rFonts w:ascii="Arial" w:eastAsia="Arial Unicode MS" w:hAnsi="Arial" w:cs="Arial"/>
          <w:sz w:val="22"/>
          <w:szCs w:val="22"/>
          <w:bdr w:val="none" w:sz="0" w:space="0" w:color="auto" w:frame="1"/>
        </w:rPr>
      </w:pPr>
      <w:r w:rsidRPr="00EC674F">
        <w:rPr>
          <w:rFonts w:ascii="Arial" w:eastAsia="Arial Unicode MS" w:hAnsi="Arial" w:cs="Arial"/>
          <w:sz w:val="22"/>
          <w:szCs w:val="22"/>
          <w:bdr w:val="none" w:sz="0" w:space="0" w:color="auto" w:frame="1"/>
        </w:rPr>
        <w:t>A chapter on procurement integrity which outlines code of conduct for officials, bidders and suppliers, including measures for handling any contravention of the code of conduct; and</w:t>
      </w:r>
    </w:p>
    <w:p w:rsidR="00722132" w:rsidRDefault="00722132" w:rsidP="009C26FD">
      <w:pPr>
        <w:pStyle w:val="ListParagraph"/>
        <w:numPr>
          <w:ilvl w:val="0"/>
          <w:numId w:val="14"/>
        </w:numPr>
        <w:spacing w:before="100" w:beforeAutospacing="1" w:after="100" w:afterAutospacing="1" w:line="360" w:lineRule="auto"/>
        <w:ind w:left="1134" w:hanging="567"/>
        <w:jc w:val="both"/>
        <w:outlineLvl w:val="0"/>
        <w:rPr>
          <w:rFonts w:ascii="Arial" w:eastAsia="Arial Unicode MS" w:hAnsi="Arial" w:cs="Arial"/>
          <w:sz w:val="22"/>
          <w:szCs w:val="22"/>
          <w:bdr w:val="none" w:sz="0" w:space="0" w:color="auto" w:frame="1"/>
        </w:rPr>
      </w:pPr>
      <w:r w:rsidRPr="00EC674F">
        <w:rPr>
          <w:rFonts w:ascii="Arial" w:eastAsia="Arial Unicode MS" w:hAnsi="Arial" w:cs="Arial"/>
          <w:sz w:val="22"/>
          <w:szCs w:val="22"/>
          <w:bdr w:val="none" w:sz="0" w:space="0" w:color="auto" w:frame="1"/>
        </w:rPr>
        <w:t>That institution</w:t>
      </w:r>
      <w:r w:rsidR="008F0587">
        <w:rPr>
          <w:rFonts w:ascii="Arial" w:eastAsia="Arial Unicode MS" w:hAnsi="Arial" w:cs="Arial"/>
          <w:sz w:val="22"/>
          <w:szCs w:val="22"/>
          <w:bdr w:val="none" w:sz="0" w:space="0" w:color="auto" w:frame="1"/>
        </w:rPr>
        <w:t>s</w:t>
      </w:r>
      <w:r w:rsidRPr="00EC674F">
        <w:rPr>
          <w:rFonts w:ascii="Arial" w:eastAsia="Arial Unicode MS" w:hAnsi="Arial" w:cs="Arial"/>
          <w:sz w:val="22"/>
          <w:szCs w:val="22"/>
          <w:bdr w:val="none" w:sz="0" w:space="0" w:color="auto" w:frame="1"/>
        </w:rPr>
        <w:t xml:space="preserve"> must ensure that all planned procurement is aligned to the institution</w:t>
      </w:r>
      <w:r w:rsidR="008F0587">
        <w:rPr>
          <w:rFonts w:ascii="Arial" w:eastAsia="Arial Unicode MS" w:hAnsi="Arial" w:cs="Arial"/>
          <w:sz w:val="22"/>
          <w:szCs w:val="22"/>
          <w:bdr w:val="none" w:sz="0" w:space="0" w:color="auto" w:frame="1"/>
        </w:rPr>
        <w:t>’</w:t>
      </w:r>
      <w:r w:rsidRPr="00EC674F">
        <w:rPr>
          <w:rFonts w:ascii="Arial" w:eastAsia="Arial Unicode MS" w:hAnsi="Arial" w:cs="Arial"/>
          <w:sz w:val="22"/>
          <w:szCs w:val="22"/>
          <w:bdr w:val="none" w:sz="0" w:space="0" w:color="auto" w:frame="1"/>
        </w:rPr>
        <w:t>s budget and plan.</w:t>
      </w:r>
    </w:p>
    <w:p w:rsidR="00EA509F" w:rsidRDefault="00EA509F" w:rsidP="00EA509F">
      <w:pPr>
        <w:pStyle w:val="ListParagraph"/>
        <w:rPr>
          <w:rFonts w:ascii="Arial" w:eastAsia="Arial Unicode MS" w:hAnsi="Arial" w:cs="Arial"/>
          <w:sz w:val="22"/>
          <w:szCs w:val="22"/>
          <w:bdr w:val="none" w:sz="0" w:space="0" w:color="auto" w:frame="1"/>
        </w:rPr>
      </w:pPr>
    </w:p>
    <w:p w:rsidR="009C26FD" w:rsidRDefault="009C26FD" w:rsidP="00EA509F">
      <w:pPr>
        <w:pStyle w:val="ListParagraph"/>
        <w:rPr>
          <w:rFonts w:ascii="Arial" w:eastAsia="Arial Unicode MS" w:hAnsi="Arial" w:cs="Arial"/>
          <w:sz w:val="22"/>
          <w:szCs w:val="22"/>
          <w:bdr w:val="none" w:sz="0" w:space="0" w:color="auto" w:frame="1"/>
        </w:rPr>
      </w:pPr>
    </w:p>
    <w:p w:rsidR="009C26FD" w:rsidRPr="00EA509F" w:rsidRDefault="009C26FD" w:rsidP="00EA509F">
      <w:pPr>
        <w:pStyle w:val="ListParagraph"/>
        <w:rPr>
          <w:rFonts w:ascii="Arial" w:eastAsia="Arial Unicode MS" w:hAnsi="Arial" w:cs="Arial"/>
          <w:sz w:val="22"/>
          <w:szCs w:val="22"/>
          <w:bdr w:val="none" w:sz="0" w:space="0" w:color="auto" w:frame="1"/>
        </w:rPr>
      </w:pPr>
    </w:p>
    <w:p w:rsidR="009C26FD" w:rsidRDefault="007D13D9" w:rsidP="009C26FD">
      <w:pPr>
        <w:pStyle w:val="ListParagraph"/>
        <w:numPr>
          <w:ilvl w:val="0"/>
          <w:numId w:val="13"/>
        </w:numPr>
        <w:spacing w:before="100" w:beforeAutospacing="1" w:after="240" w:line="360" w:lineRule="auto"/>
        <w:ind w:left="567" w:hanging="567"/>
        <w:contextualSpacing w:val="0"/>
        <w:jc w:val="both"/>
        <w:outlineLvl w:val="0"/>
        <w:rPr>
          <w:rFonts w:ascii="Arial" w:eastAsia="Arial Unicode MS" w:hAnsi="Arial" w:cs="Arial"/>
          <w:sz w:val="22"/>
          <w:szCs w:val="22"/>
          <w:bdr w:val="none" w:sz="0" w:space="0" w:color="auto" w:frame="1"/>
        </w:rPr>
      </w:pPr>
      <w:r>
        <w:rPr>
          <w:rFonts w:ascii="Arial" w:eastAsia="Arial Unicode MS" w:hAnsi="Arial" w:cs="Arial"/>
          <w:sz w:val="22"/>
          <w:szCs w:val="22"/>
          <w:bdr w:val="none" w:sz="0" w:space="0" w:color="auto" w:frame="1"/>
        </w:rPr>
        <w:t xml:space="preserve">The National Treasury, furthermore, proposed </w:t>
      </w:r>
      <w:r w:rsidR="009C26FD">
        <w:rPr>
          <w:rFonts w:ascii="Arial" w:eastAsia="Arial Unicode MS" w:hAnsi="Arial" w:cs="Arial"/>
          <w:sz w:val="22"/>
          <w:szCs w:val="22"/>
          <w:bdr w:val="none" w:sz="0" w:space="0" w:color="auto" w:frame="1"/>
        </w:rPr>
        <w:t xml:space="preserve">to the DPSA, </w:t>
      </w:r>
      <w:r>
        <w:rPr>
          <w:rFonts w:ascii="Arial" w:eastAsia="Arial Unicode MS" w:hAnsi="Arial" w:cs="Arial"/>
          <w:sz w:val="22"/>
          <w:szCs w:val="22"/>
          <w:bdr w:val="none" w:sz="0" w:space="0" w:color="auto" w:frame="1"/>
        </w:rPr>
        <w:t xml:space="preserve">the following Key Government Focus Areas (KGFA) and </w:t>
      </w:r>
      <w:r w:rsidR="002707A1">
        <w:rPr>
          <w:rFonts w:ascii="Arial" w:eastAsia="Arial Unicode MS" w:hAnsi="Arial" w:cs="Arial"/>
          <w:sz w:val="22"/>
          <w:szCs w:val="22"/>
          <w:bdr w:val="none" w:sz="0" w:space="0" w:color="auto" w:frame="1"/>
        </w:rPr>
        <w:t>Key Focus Area Activities (</w:t>
      </w:r>
      <w:r w:rsidR="009C26FD">
        <w:rPr>
          <w:rFonts w:ascii="Arial" w:eastAsia="Arial Unicode MS" w:hAnsi="Arial" w:cs="Arial"/>
          <w:sz w:val="22"/>
          <w:szCs w:val="22"/>
          <w:bdr w:val="none" w:sz="0" w:space="0" w:color="auto" w:frame="1"/>
        </w:rPr>
        <w:t>KFAA) to be included in the Performance Agreements of Head of Departments:</w:t>
      </w:r>
    </w:p>
    <w:p w:rsidR="009C26FD" w:rsidRDefault="009C26FD" w:rsidP="009C26FD">
      <w:pPr>
        <w:pStyle w:val="ListParagraph"/>
        <w:spacing w:before="100" w:beforeAutospacing="1" w:after="240" w:line="360" w:lineRule="auto"/>
        <w:ind w:left="567"/>
        <w:contextualSpacing w:val="0"/>
        <w:jc w:val="both"/>
        <w:outlineLvl w:val="0"/>
        <w:rPr>
          <w:rFonts w:ascii="Arial" w:eastAsia="Arial Unicode MS" w:hAnsi="Arial" w:cs="Arial"/>
          <w:sz w:val="22"/>
          <w:szCs w:val="22"/>
          <w:bdr w:val="none" w:sz="0" w:space="0" w:color="auto" w:frame="1"/>
        </w:rPr>
      </w:pPr>
    </w:p>
    <w:p w:rsidR="009C26FD" w:rsidRDefault="009C26FD" w:rsidP="009C26FD">
      <w:pPr>
        <w:pStyle w:val="ListParagraph"/>
        <w:spacing w:before="100" w:beforeAutospacing="1" w:after="240" w:line="360" w:lineRule="auto"/>
        <w:ind w:left="567"/>
        <w:contextualSpacing w:val="0"/>
        <w:jc w:val="both"/>
        <w:outlineLvl w:val="0"/>
        <w:rPr>
          <w:rFonts w:ascii="Arial" w:eastAsia="Arial Unicode MS" w:hAnsi="Arial" w:cs="Arial"/>
          <w:sz w:val="22"/>
          <w:szCs w:val="22"/>
          <w:bdr w:val="none" w:sz="0" w:space="0" w:color="auto" w:frame="1"/>
        </w:rPr>
        <w:sectPr w:rsidR="009C26FD" w:rsidSect="009C26FD">
          <w:footerReference w:type="default" r:id="rId8"/>
          <w:pgSz w:w="12240" w:h="15840" w:code="1"/>
          <w:pgMar w:top="1276" w:right="1418" w:bottom="426" w:left="1418" w:header="720" w:footer="396" w:gutter="0"/>
          <w:cols w:space="720"/>
          <w:docGrid w:linePitch="326"/>
        </w:sectPr>
      </w:pPr>
    </w:p>
    <w:p w:rsidR="009C26FD" w:rsidRPr="009C26FD" w:rsidRDefault="009C26FD" w:rsidP="009C26FD">
      <w:pPr>
        <w:spacing w:line="480" w:lineRule="auto"/>
        <w:rPr>
          <w:rFonts w:ascii="Arial" w:hAnsi="Arial" w:cs="Arial"/>
          <w:lang w:val="en-GB"/>
        </w:rPr>
      </w:pPr>
      <w:r w:rsidRPr="009C26FD">
        <w:rPr>
          <w:rFonts w:ascii="Arial" w:hAnsi="Arial" w:cs="Arial"/>
          <w:lang w:val="en-GB"/>
        </w:rPr>
        <w:lastRenderedPageBreak/>
        <w:t>Key government focus areas: Supply Chain Management System</w:t>
      </w:r>
    </w:p>
    <w:tbl>
      <w:tblPr>
        <w:tblStyle w:val="TableGrid"/>
        <w:tblW w:w="0" w:type="auto"/>
        <w:tblLook w:val="04A0"/>
      </w:tblPr>
      <w:tblGrid>
        <w:gridCol w:w="840"/>
        <w:gridCol w:w="2841"/>
        <w:gridCol w:w="1341"/>
        <w:gridCol w:w="1418"/>
        <w:gridCol w:w="3969"/>
        <w:gridCol w:w="2976"/>
      </w:tblGrid>
      <w:tr w:rsidR="009C26FD" w:rsidRPr="009C26FD" w:rsidTr="002707A1">
        <w:trPr>
          <w:tblHeader/>
        </w:trPr>
        <w:tc>
          <w:tcPr>
            <w:tcW w:w="840" w:type="dxa"/>
          </w:tcPr>
          <w:p w:rsidR="009C26FD" w:rsidRPr="009C26FD" w:rsidRDefault="009C26FD" w:rsidP="001F069F">
            <w:pPr>
              <w:rPr>
                <w:rFonts w:ascii="Arial" w:hAnsi="Arial" w:cs="Arial"/>
                <w:b/>
                <w:sz w:val="22"/>
                <w:szCs w:val="22"/>
                <w:lang w:val="en-GB"/>
              </w:rPr>
            </w:pPr>
            <w:r w:rsidRPr="009C26FD">
              <w:rPr>
                <w:rFonts w:ascii="Arial" w:hAnsi="Arial" w:cs="Arial"/>
                <w:b/>
                <w:sz w:val="22"/>
                <w:szCs w:val="22"/>
                <w:lang w:val="en-GB"/>
              </w:rPr>
              <w:t>KGFA</w:t>
            </w:r>
          </w:p>
        </w:tc>
        <w:tc>
          <w:tcPr>
            <w:tcW w:w="2841" w:type="dxa"/>
          </w:tcPr>
          <w:p w:rsidR="009C26FD" w:rsidRPr="009C26FD" w:rsidRDefault="009C26FD" w:rsidP="001F069F">
            <w:pPr>
              <w:rPr>
                <w:rFonts w:ascii="Arial" w:hAnsi="Arial" w:cs="Arial"/>
                <w:b/>
                <w:sz w:val="22"/>
                <w:szCs w:val="22"/>
                <w:lang w:val="en-GB"/>
              </w:rPr>
            </w:pPr>
            <w:r w:rsidRPr="009C26FD">
              <w:rPr>
                <w:rFonts w:ascii="Arial" w:hAnsi="Arial" w:cs="Arial"/>
                <w:b/>
                <w:sz w:val="22"/>
                <w:szCs w:val="22"/>
                <w:lang w:val="en-GB"/>
              </w:rPr>
              <w:t>KFAA</w:t>
            </w:r>
            <w:r w:rsidRPr="009C26FD">
              <w:rPr>
                <w:rStyle w:val="FootnoteReference"/>
                <w:rFonts w:ascii="Arial" w:hAnsi="Arial" w:cs="Arial"/>
                <w:b/>
                <w:sz w:val="22"/>
                <w:szCs w:val="22"/>
                <w:lang w:val="en-GB"/>
              </w:rPr>
              <w:footnoteReference w:id="2"/>
            </w:r>
          </w:p>
        </w:tc>
        <w:tc>
          <w:tcPr>
            <w:tcW w:w="992" w:type="dxa"/>
          </w:tcPr>
          <w:p w:rsidR="009C26FD" w:rsidRPr="009C26FD" w:rsidRDefault="002707A1" w:rsidP="001F069F">
            <w:pPr>
              <w:rPr>
                <w:rFonts w:ascii="Arial" w:hAnsi="Arial" w:cs="Arial"/>
                <w:b/>
                <w:sz w:val="22"/>
                <w:szCs w:val="22"/>
                <w:lang w:val="en-GB"/>
              </w:rPr>
            </w:pPr>
            <w:r>
              <w:rPr>
                <w:rFonts w:ascii="Arial" w:hAnsi="Arial" w:cs="Arial"/>
                <w:b/>
                <w:sz w:val="22"/>
                <w:szCs w:val="22"/>
                <w:lang w:val="en-GB"/>
              </w:rPr>
              <w:t xml:space="preserve">Suggested </w:t>
            </w:r>
            <w:r w:rsidR="009C26FD" w:rsidRPr="009C26FD">
              <w:rPr>
                <w:rFonts w:ascii="Arial" w:hAnsi="Arial" w:cs="Arial"/>
                <w:b/>
                <w:sz w:val="22"/>
                <w:szCs w:val="22"/>
                <w:lang w:val="en-GB"/>
              </w:rPr>
              <w:t>Weight</w:t>
            </w:r>
          </w:p>
        </w:tc>
        <w:tc>
          <w:tcPr>
            <w:tcW w:w="1418" w:type="dxa"/>
          </w:tcPr>
          <w:p w:rsidR="009C26FD" w:rsidRPr="009C26FD" w:rsidRDefault="009C26FD" w:rsidP="001F069F">
            <w:pPr>
              <w:rPr>
                <w:rFonts w:ascii="Arial" w:hAnsi="Arial" w:cs="Arial"/>
                <w:b/>
                <w:sz w:val="22"/>
                <w:szCs w:val="22"/>
                <w:lang w:val="en-GB"/>
              </w:rPr>
            </w:pPr>
            <w:r w:rsidRPr="009C26FD">
              <w:rPr>
                <w:rFonts w:ascii="Arial" w:hAnsi="Arial" w:cs="Arial"/>
                <w:b/>
                <w:sz w:val="22"/>
                <w:szCs w:val="22"/>
                <w:lang w:val="en-GB"/>
              </w:rPr>
              <w:t>Target Date</w:t>
            </w:r>
          </w:p>
        </w:tc>
        <w:tc>
          <w:tcPr>
            <w:tcW w:w="3969" w:type="dxa"/>
          </w:tcPr>
          <w:p w:rsidR="009C26FD" w:rsidRPr="009C26FD" w:rsidRDefault="009C26FD" w:rsidP="001F069F">
            <w:pPr>
              <w:rPr>
                <w:rFonts w:ascii="Arial" w:hAnsi="Arial" w:cs="Arial"/>
                <w:b/>
                <w:sz w:val="22"/>
                <w:szCs w:val="22"/>
                <w:lang w:val="en-GB"/>
              </w:rPr>
            </w:pPr>
            <w:r w:rsidRPr="009C26FD">
              <w:rPr>
                <w:rFonts w:ascii="Arial" w:hAnsi="Arial" w:cs="Arial"/>
                <w:b/>
                <w:sz w:val="22"/>
                <w:szCs w:val="22"/>
                <w:lang w:val="en-GB"/>
              </w:rPr>
              <w:t>Indicator/Target</w:t>
            </w:r>
          </w:p>
        </w:tc>
        <w:tc>
          <w:tcPr>
            <w:tcW w:w="2976" w:type="dxa"/>
          </w:tcPr>
          <w:p w:rsidR="009C26FD" w:rsidRPr="009C26FD" w:rsidRDefault="009C26FD" w:rsidP="001F069F">
            <w:pPr>
              <w:rPr>
                <w:rFonts w:ascii="Arial" w:hAnsi="Arial" w:cs="Arial"/>
                <w:b/>
                <w:sz w:val="22"/>
                <w:szCs w:val="22"/>
                <w:lang w:val="en-GB"/>
              </w:rPr>
            </w:pPr>
            <w:r w:rsidRPr="009C26FD">
              <w:rPr>
                <w:rFonts w:ascii="Arial" w:hAnsi="Arial" w:cs="Arial"/>
                <w:b/>
                <w:sz w:val="22"/>
                <w:szCs w:val="22"/>
                <w:lang w:val="en-GB"/>
              </w:rPr>
              <w:t>Baseline Data</w:t>
            </w:r>
          </w:p>
        </w:tc>
      </w:tr>
      <w:tr w:rsidR="009C26FD" w:rsidRPr="009C26FD" w:rsidTr="002707A1">
        <w:trPr>
          <w:tblHeader/>
        </w:trPr>
        <w:tc>
          <w:tcPr>
            <w:tcW w:w="840" w:type="dxa"/>
            <w:vMerge w:val="restart"/>
            <w:textDirection w:val="btLr"/>
          </w:tcPr>
          <w:p w:rsidR="009C26FD" w:rsidRPr="009C26FD" w:rsidRDefault="009C26FD" w:rsidP="001F069F">
            <w:pPr>
              <w:ind w:left="113" w:right="113"/>
              <w:rPr>
                <w:rFonts w:ascii="Arial" w:hAnsi="Arial" w:cs="Arial"/>
                <w:sz w:val="22"/>
                <w:szCs w:val="22"/>
                <w:lang w:val="en-GB"/>
              </w:rPr>
            </w:pPr>
            <w:r w:rsidRPr="009C26FD">
              <w:rPr>
                <w:rFonts w:ascii="Arial" w:hAnsi="Arial" w:cs="Arial"/>
                <w:sz w:val="22"/>
                <w:szCs w:val="22"/>
                <w:lang w:val="en-GB"/>
              </w:rPr>
              <w:t>Develop and implement effective and efficient supply chain management system</w:t>
            </w:r>
          </w:p>
        </w:tc>
        <w:tc>
          <w:tcPr>
            <w:tcW w:w="2841"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 xml:space="preserve">Elimination of wasteful and fruitless expenditure </w:t>
            </w:r>
          </w:p>
        </w:tc>
        <w:tc>
          <w:tcPr>
            <w:tcW w:w="992"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20%</w:t>
            </w:r>
          </w:p>
        </w:tc>
        <w:tc>
          <w:tcPr>
            <w:tcW w:w="1418"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Annual</w:t>
            </w:r>
          </w:p>
        </w:tc>
        <w:tc>
          <w:tcPr>
            <w:tcW w:w="3969"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 xml:space="preserve">70% </w:t>
            </w:r>
            <w:r w:rsidRPr="009C26FD">
              <w:rPr>
                <w:rFonts w:ascii="Arial" w:hAnsi="Arial" w:cs="Arial"/>
                <w:sz w:val="22"/>
                <w:szCs w:val="22"/>
              </w:rPr>
              <w:t xml:space="preserve">elimination of wasteful and fruitless expenditure from baseline 2019 </w:t>
            </w:r>
            <w:r w:rsidRPr="009C26FD">
              <w:rPr>
                <w:rStyle w:val="FootnoteReference"/>
                <w:rFonts w:ascii="Arial" w:hAnsi="Arial" w:cs="Arial"/>
                <w:sz w:val="22"/>
                <w:szCs w:val="22"/>
              </w:rPr>
              <w:footnoteReference w:id="3"/>
            </w:r>
          </w:p>
        </w:tc>
        <w:tc>
          <w:tcPr>
            <w:tcW w:w="2976" w:type="dxa"/>
            <w:tcBorders>
              <w:top w:val="nil"/>
              <w:left w:val="nil"/>
              <w:bottom w:val="single" w:sz="8" w:space="0" w:color="auto"/>
              <w:right w:val="single" w:sz="8" w:space="0" w:color="auto"/>
            </w:tcBorders>
          </w:tcPr>
          <w:p w:rsidR="009C26FD" w:rsidRPr="009C26FD" w:rsidRDefault="009C26FD" w:rsidP="008F0587">
            <w:pPr>
              <w:spacing w:line="360" w:lineRule="auto"/>
              <w:rPr>
                <w:rFonts w:ascii="Arial" w:hAnsi="Arial" w:cs="Arial"/>
                <w:sz w:val="22"/>
                <w:szCs w:val="22"/>
              </w:rPr>
            </w:pPr>
            <w:r w:rsidRPr="009C26FD">
              <w:rPr>
                <w:rFonts w:ascii="Arial" w:hAnsi="Arial" w:cs="Arial"/>
                <w:sz w:val="22"/>
                <w:szCs w:val="22"/>
              </w:rPr>
              <w:t>2018 Baseline</w:t>
            </w:r>
          </w:p>
        </w:tc>
      </w:tr>
      <w:tr w:rsidR="009C26FD" w:rsidRPr="009C26FD" w:rsidTr="002707A1">
        <w:trPr>
          <w:tblHeader/>
        </w:trPr>
        <w:tc>
          <w:tcPr>
            <w:tcW w:w="840" w:type="dxa"/>
            <w:vMerge/>
          </w:tcPr>
          <w:p w:rsidR="009C26FD" w:rsidRPr="009C26FD" w:rsidRDefault="009C26FD" w:rsidP="001F069F">
            <w:pPr>
              <w:rPr>
                <w:rFonts w:ascii="Arial" w:hAnsi="Arial" w:cs="Arial"/>
                <w:sz w:val="22"/>
                <w:szCs w:val="22"/>
                <w:lang w:val="en-GB"/>
              </w:rPr>
            </w:pPr>
          </w:p>
        </w:tc>
        <w:tc>
          <w:tcPr>
            <w:tcW w:w="2841" w:type="dxa"/>
          </w:tcPr>
          <w:p w:rsidR="009C26FD" w:rsidRPr="009C26FD" w:rsidRDefault="009C26FD" w:rsidP="008F0587">
            <w:pPr>
              <w:spacing w:line="360" w:lineRule="auto"/>
              <w:rPr>
                <w:rFonts w:ascii="Arial" w:hAnsi="Arial" w:cs="Arial"/>
                <w:sz w:val="22"/>
                <w:szCs w:val="22"/>
                <w:lang w:val="en-GB"/>
              </w:rPr>
            </w:pPr>
            <w:r w:rsidRPr="009C26FD">
              <w:rPr>
                <w:rFonts w:ascii="Arial" w:eastAsia="Calibri" w:hAnsi="Arial" w:cs="Arial"/>
                <w:sz w:val="22"/>
                <w:szCs w:val="22"/>
              </w:rPr>
              <w:t xml:space="preserve">Reduction of irregular expenditure </w:t>
            </w:r>
          </w:p>
        </w:tc>
        <w:tc>
          <w:tcPr>
            <w:tcW w:w="992"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20%</w:t>
            </w:r>
          </w:p>
        </w:tc>
        <w:tc>
          <w:tcPr>
            <w:tcW w:w="1418"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Annual</w:t>
            </w:r>
          </w:p>
        </w:tc>
        <w:tc>
          <w:tcPr>
            <w:tcW w:w="3969"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 xml:space="preserve">65% </w:t>
            </w:r>
            <w:r w:rsidRPr="009C26FD">
              <w:rPr>
                <w:rFonts w:ascii="Arial" w:hAnsi="Arial" w:cs="Arial"/>
                <w:sz w:val="22"/>
                <w:szCs w:val="22"/>
              </w:rPr>
              <w:t>reduction of irregular expenditure from baseline 2019</w:t>
            </w:r>
            <w:r w:rsidRPr="009C26FD">
              <w:rPr>
                <w:rStyle w:val="FootnoteReference"/>
                <w:rFonts w:ascii="Arial" w:hAnsi="Arial" w:cs="Arial"/>
                <w:sz w:val="22"/>
                <w:szCs w:val="22"/>
              </w:rPr>
              <w:footnoteReference w:id="4"/>
            </w:r>
          </w:p>
        </w:tc>
        <w:tc>
          <w:tcPr>
            <w:tcW w:w="2976" w:type="dxa"/>
            <w:tcBorders>
              <w:top w:val="nil"/>
              <w:left w:val="nil"/>
              <w:bottom w:val="single" w:sz="8" w:space="0" w:color="auto"/>
              <w:right w:val="single" w:sz="8" w:space="0" w:color="auto"/>
            </w:tcBorders>
          </w:tcPr>
          <w:p w:rsidR="009C26FD" w:rsidRPr="009C26FD" w:rsidRDefault="009C26FD" w:rsidP="008F0587">
            <w:pPr>
              <w:spacing w:line="360" w:lineRule="auto"/>
              <w:rPr>
                <w:rFonts w:ascii="Arial" w:hAnsi="Arial" w:cs="Arial"/>
                <w:sz w:val="22"/>
                <w:szCs w:val="22"/>
              </w:rPr>
            </w:pPr>
            <w:r w:rsidRPr="009C26FD">
              <w:rPr>
                <w:rFonts w:ascii="Arial" w:hAnsi="Arial" w:cs="Arial"/>
                <w:sz w:val="22"/>
                <w:szCs w:val="22"/>
              </w:rPr>
              <w:t xml:space="preserve">2018 Baseline </w:t>
            </w:r>
          </w:p>
        </w:tc>
      </w:tr>
      <w:tr w:rsidR="009C26FD" w:rsidRPr="009C26FD" w:rsidTr="002707A1">
        <w:trPr>
          <w:tblHeader/>
        </w:trPr>
        <w:tc>
          <w:tcPr>
            <w:tcW w:w="840" w:type="dxa"/>
            <w:vMerge/>
          </w:tcPr>
          <w:p w:rsidR="009C26FD" w:rsidRPr="009C26FD" w:rsidRDefault="009C26FD" w:rsidP="001F069F">
            <w:pPr>
              <w:rPr>
                <w:rFonts w:ascii="Arial" w:hAnsi="Arial" w:cs="Arial"/>
                <w:sz w:val="22"/>
                <w:szCs w:val="22"/>
                <w:lang w:val="en-GB"/>
              </w:rPr>
            </w:pPr>
          </w:p>
        </w:tc>
        <w:tc>
          <w:tcPr>
            <w:tcW w:w="2841"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 xml:space="preserve">Reduction of qualified audits </w:t>
            </w:r>
          </w:p>
        </w:tc>
        <w:tc>
          <w:tcPr>
            <w:tcW w:w="992"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20%</w:t>
            </w:r>
          </w:p>
        </w:tc>
        <w:tc>
          <w:tcPr>
            <w:tcW w:w="1418"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Annual</w:t>
            </w:r>
          </w:p>
        </w:tc>
        <w:tc>
          <w:tcPr>
            <w:tcW w:w="3969"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rPr>
              <w:t>Unqualified audit opinion with 25% fewer findings than 2019/20</w:t>
            </w:r>
            <w:r w:rsidRPr="009C26FD">
              <w:rPr>
                <w:rStyle w:val="FootnoteReference"/>
                <w:rFonts w:ascii="Arial" w:hAnsi="Arial" w:cs="Arial"/>
                <w:sz w:val="22"/>
                <w:szCs w:val="22"/>
              </w:rPr>
              <w:footnoteReference w:id="5"/>
            </w:r>
          </w:p>
        </w:tc>
        <w:tc>
          <w:tcPr>
            <w:tcW w:w="2976" w:type="dxa"/>
            <w:tcBorders>
              <w:top w:val="nil"/>
              <w:left w:val="nil"/>
              <w:bottom w:val="single" w:sz="8" w:space="0" w:color="auto"/>
              <w:right w:val="single" w:sz="8" w:space="0" w:color="auto"/>
            </w:tcBorders>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rPr>
              <w:t xml:space="preserve">2018 Baseline </w:t>
            </w:r>
          </w:p>
        </w:tc>
      </w:tr>
      <w:tr w:rsidR="009C26FD" w:rsidRPr="009C26FD" w:rsidTr="002707A1">
        <w:trPr>
          <w:tblHeader/>
        </w:trPr>
        <w:tc>
          <w:tcPr>
            <w:tcW w:w="840" w:type="dxa"/>
            <w:vMerge/>
          </w:tcPr>
          <w:p w:rsidR="009C26FD" w:rsidRPr="009C26FD" w:rsidRDefault="009C26FD" w:rsidP="001F069F">
            <w:pPr>
              <w:rPr>
                <w:rFonts w:ascii="Arial" w:hAnsi="Arial" w:cs="Arial"/>
                <w:sz w:val="22"/>
                <w:szCs w:val="22"/>
                <w:lang w:val="en-GB"/>
              </w:rPr>
            </w:pPr>
          </w:p>
        </w:tc>
        <w:tc>
          <w:tcPr>
            <w:tcW w:w="2841"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Ensure that procurement planning is managed</w:t>
            </w:r>
          </w:p>
        </w:tc>
        <w:tc>
          <w:tcPr>
            <w:tcW w:w="992"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15%</w:t>
            </w:r>
          </w:p>
        </w:tc>
        <w:tc>
          <w:tcPr>
            <w:tcW w:w="1418"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Annual</w:t>
            </w:r>
          </w:p>
        </w:tc>
        <w:tc>
          <w:tcPr>
            <w:tcW w:w="3969"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 xml:space="preserve">The finalisation of tender awards within an average of 100 days </w:t>
            </w:r>
          </w:p>
        </w:tc>
        <w:tc>
          <w:tcPr>
            <w:tcW w:w="2976"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Average number of days to award tenders</w:t>
            </w:r>
          </w:p>
        </w:tc>
      </w:tr>
      <w:tr w:rsidR="009C26FD" w:rsidRPr="009C26FD" w:rsidTr="002707A1">
        <w:trPr>
          <w:tblHeader/>
        </w:trPr>
        <w:tc>
          <w:tcPr>
            <w:tcW w:w="840" w:type="dxa"/>
            <w:vMerge/>
          </w:tcPr>
          <w:p w:rsidR="009C26FD" w:rsidRPr="009C26FD" w:rsidRDefault="009C26FD" w:rsidP="001F069F">
            <w:pPr>
              <w:rPr>
                <w:rFonts w:ascii="Arial" w:hAnsi="Arial" w:cs="Arial"/>
                <w:sz w:val="22"/>
                <w:szCs w:val="22"/>
                <w:lang w:val="en-GB"/>
              </w:rPr>
            </w:pPr>
          </w:p>
        </w:tc>
        <w:tc>
          <w:tcPr>
            <w:tcW w:w="2841"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Ensure that SCM risk management is performed</w:t>
            </w:r>
          </w:p>
        </w:tc>
        <w:tc>
          <w:tcPr>
            <w:tcW w:w="992"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5%</w:t>
            </w:r>
          </w:p>
        </w:tc>
        <w:tc>
          <w:tcPr>
            <w:tcW w:w="1418"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Annual</w:t>
            </w:r>
          </w:p>
        </w:tc>
        <w:tc>
          <w:tcPr>
            <w:tcW w:w="3969"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Risk response plans for the top 5 SCM risks developed</w:t>
            </w:r>
          </w:p>
        </w:tc>
        <w:tc>
          <w:tcPr>
            <w:tcW w:w="2976"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Risk response mitigation plans</w:t>
            </w:r>
          </w:p>
        </w:tc>
      </w:tr>
      <w:tr w:rsidR="009C26FD" w:rsidRPr="009C26FD" w:rsidTr="002707A1">
        <w:trPr>
          <w:tblHeader/>
        </w:trPr>
        <w:tc>
          <w:tcPr>
            <w:tcW w:w="840" w:type="dxa"/>
            <w:vMerge/>
          </w:tcPr>
          <w:p w:rsidR="009C26FD" w:rsidRPr="009C26FD" w:rsidRDefault="009C26FD" w:rsidP="001F069F">
            <w:pPr>
              <w:rPr>
                <w:rFonts w:ascii="Arial" w:hAnsi="Arial" w:cs="Arial"/>
                <w:sz w:val="22"/>
                <w:szCs w:val="22"/>
                <w:lang w:val="en-GB"/>
              </w:rPr>
            </w:pPr>
          </w:p>
        </w:tc>
        <w:tc>
          <w:tcPr>
            <w:tcW w:w="2841"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Ensure that the department pays all compliant supplier invoices within 30 days of receipt of invoice</w:t>
            </w:r>
          </w:p>
        </w:tc>
        <w:tc>
          <w:tcPr>
            <w:tcW w:w="992"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20%</w:t>
            </w:r>
          </w:p>
        </w:tc>
        <w:tc>
          <w:tcPr>
            <w:tcW w:w="1418"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Annual</w:t>
            </w:r>
          </w:p>
        </w:tc>
        <w:tc>
          <w:tcPr>
            <w:tcW w:w="3969"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 xml:space="preserve">100% of compliant supplier invoices paid within 30 days of receipt of invoice  </w:t>
            </w:r>
          </w:p>
        </w:tc>
        <w:tc>
          <w:tcPr>
            <w:tcW w:w="2976" w:type="dxa"/>
          </w:tcPr>
          <w:p w:rsidR="009C26FD" w:rsidRPr="009C26FD" w:rsidRDefault="009C26FD" w:rsidP="008F0587">
            <w:pPr>
              <w:spacing w:line="360" w:lineRule="auto"/>
              <w:rPr>
                <w:rFonts w:ascii="Arial" w:hAnsi="Arial" w:cs="Arial"/>
                <w:sz w:val="22"/>
                <w:szCs w:val="22"/>
                <w:lang w:val="en-GB"/>
              </w:rPr>
            </w:pPr>
            <w:r w:rsidRPr="009C26FD">
              <w:rPr>
                <w:rFonts w:ascii="Arial" w:hAnsi="Arial" w:cs="Arial"/>
                <w:sz w:val="22"/>
                <w:szCs w:val="22"/>
                <w:lang w:val="en-GB"/>
              </w:rPr>
              <w:t>Average supplier payment days</w:t>
            </w:r>
          </w:p>
        </w:tc>
      </w:tr>
    </w:tbl>
    <w:p w:rsidR="009C26FD" w:rsidRDefault="009C26FD">
      <w:pPr>
        <w:rPr>
          <w:rFonts w:ascii="Arial" w:hAnsi="Arial" w:cs="Arial"/>
          <w:b/>
          <w:sz w:val="22"/>
          <w:szCs w:val="22"/>
          <w:u w:val="single"/>
        </w:rPr>
        <w:sectPr w:rsidR="009C26FD" w:rsidSect="009C26FD">
          <w:pgSz w:w="15840" w:h="12240" w:orient="landscape" w:code="1"/>
          <w:pgMar w:top="1418" w:right="426" w:bottom="1418" w:left="1276" w:header="720" w:footer="396" w:gutter="0"/>
          <w:cols w:space="720"/>
          <w:docGrid w:linePitch="326"/>
        </w:sectPr>
      </w:pPr>
      <w:bookmarkStart w:id="2" w:name="_GoBack"/>
      <w:bookmarkEnd w:id="2"/>
    </w:p>
    <w:p w:rsidR="00C401F8" w:rsidRPr="00553EDC" w:rsidRDefault="00C401F8" w:rsidP="005F5226">
      <w:pPr>
        <w:tabs>
          <w:tab w:val="left" w:pos="432"/>
          <w:tab w:val="left" w:pos="864"/>
        </w:tabs>
        <w:spacing w:line="360" w:lineRule="auto"/>
        <w:rPr>
          <w:rFonts w:ascii="Arial" w:hAnsi="Arial" w:cs="Arial"/>
          <w:b/>
          <w:sz w:val="22"/>
          <w:szCs w:val="22"/>
        </w:rPr>
      </w:pPr>
    </w:p>
    <w:sectPr w:rsidR="00C401F8" w:rsidRPr="00553EDC" w:rsidSect="009C26FD">
      <w:pgSz w:w="12240" w:h="15840" w:code="1"/>
      <w:pgMar w:top="1276" w:right="1418" w:bottom="426" w:left="1418" w:header="720" w:footer="39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D8" w:rsidRDefault="00C40DD8" w:rsidP="00380E88">
      <w:r>
        <w:separator/>
      </w:r>
    </w:p>
  </w:endnote>
  <w:endnote w:type="continuationSeparator" w:id="1">
    <w:p w:rsidR="00C40DD8" w:rsidRDefault="00C40DD8"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99112"/>
      <w:docPartObj>
        <w:docPartGallery w:val="Page Numbers (Bottom of Page)"/>
        <w:docPartUnique/>
      </w:docPartObj>
    </w:sdtPr>
    <w:sdtEndPr>
      <w:rPr>
        <w:noProof/>
      </w:rPr>
    </w:sdtEndPr>
    <w:sdtContent>
      <w:p w:rsidR="008F0587" w:rsidRDefault="00840F65">
        <w:pPr>
          <w:pStyle w:val="Footer"/>
          <w:jc w:val="center"/>
        </w:pPr>
        <w:r>
          <w:fldChar w:fldCharType="begin"/>
        </w:r>
        <w:r w:rsidR="008F0587">
          <w:instrText xml:space="preserve"> PAGE   \* MERGEFORMAT </w:instrText>
        </w:r>
        <w:r>
          <w:fldChar w:fldCharType="separate"/>
        </w:r>
        <w:r w:rsidR="00850F9C">
          <w:rPr>
            <w:noProof/>
          </w:rPr>
          <w:t>1</w:t>
        </w:r>
        <w:r>
          <w:rPr>
            <w:noProof/>
          </w:rPr>
          <w:fldChar w:fldCharType="end"/>
        </w:r>
      </w:p>
    </w:sdtContent>
  </w:sdt>
  <w:p w:rsidR="002707A1" w:rsidRDefault="00270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D8" w:rsidRDefault="00C40DD8" w:rsidP="00380E88">
      <w:r>
        <w:separator/>
      </w:r>
    </w:p>
  </w:footnote>
  <w:footnote w:type="continuationSeparator" w:id="1">
    <w:p w:rsidR="00C40DD8" w:rsidRDefault="00C40DD8" w:rsidP="00380E88">
      <w:r>
        <w:continuationSeparator/>
      </w:r>
    </w:p>
  </w:footnote>
  <w:footnote w:id="2">
    <w:p w:rsidR="009C26FD" w:rsidRPr="00E71B81" w:rsidRDefault="009C26FD" w:rsidP="009C26FD">
      <w:pPr>
        <w:pStyle w:val="FootnoteText"/>
        <w:rPr>
          <w:lang w:val="en-GB"/>
        </w:rPr>
      </w:pPr>
      <w:r>
        <w:rPr>
          <w:rStyle w:val="FootnoteReference"/>
        </w:rPr>
        <w:footnoteRef/>
      </w:r>
      <w:r>
        <w:rPr>
          <w:lang w:val="en-GB"/>
        </w:rPr>
        <w:t>All KFAAs are compulsory</w:t>
      </w:r>
    </w:p>
  </w:footnote>
  <w:footnote w:id="3">
    <w:p w:rsidR="009C26FD" w:rsidRPr="00545AF1" w:rsidRDefault="009C26FD" w:rsidP="009C26FD">
      <w:pPr>
        <w:pStyle w:val="FootnoteText"/>
        <w:rPr>
          <w:lang w:val="en-GB"/>
        </w:rPr>
      </w:pPr>
      <w:r>
        <w:rPr>
          <w:rStyle w:val="FootnoteReference"/>
        </w:rPr>
        <w:footnoteRef/>
      </w:r>
      <w:r>
        <w:rPr>
          <w:lang w:val="en-GB"/>
        </w:rPr>
        <w:t xml:space="preserve">This indicator should be incremental so that by 2024/2025 the target is 100% elimination </w:t>
      </w:r>
    </w:p>
  </w:footnote>
  <w:footnote w:id="4">
    <w:p w:rsidR="009C26FD" w:rsidRPr="00626CC5" w:rsidRDefault="009C26FD" w:rsidP="009C26FD">
      <w:pPr>
        <w:pStyle w:val="FootnoteText"/>
        <w:rPr>
          <w:lang w:val="en-GB"/>
        </w:rPr>
      </w:pPr>
      <w:r>
        <w:rPr>
          <w:rStyle w:val="FootnoteReference"/>
        </w:rPr>
        <w:footnoteRef/>
      </w:r>
      <w:r w:rsidRPr="0077610A">
        <w:t xml:space="preserve">This indicator should be incremental so that by 2024/2025 the target is </w:t>
      </w:r>
      <w:r>
        <w:t>75</w:t>
      </w:r>
      <w:r w:rsidRPr="0077610A">
        <w:t>% elimination</w:t>
      </w:r>
    </w:p>
  </w:footnote>
  <w:footnote w:id="5">
    <w:p w:rsidR="009C26FD" w:rsidRPr="00E37DDD" w:rsidRDefault="009C26FD" w:rsidP="009C26FD">
      <w:pPr>
        <w:pStyle w:val="FootnoteText"/>
        <w:rPr>
          <w:lang w:val="en-GB"/>
        </w:rPr>
      </w:pPr>
      <w:r>
        <w:rPr>
          <w:rStyle w:val="FootnoteReference"/>
        </w:rPr>
        <w:footnoteRef/>
      </w:r>
      <w:r>
        <w:t xml:space="preserve"> This indicator should be incremental so that by 2024/2025 the target is Clean Audit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3967"/>
    <w:multiLevelType w:val="hybridMultilevel"/>
    <w:tmpl w:val="C9C2BA6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9DF3317"/>
    <w:multiLevelType w:val="hybridMultilevel"/>
    <w:tmpl w:val="CBBECD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2"/>
  </w:num>
  <w:num w:numId="7">
    <w:abstractNumId w:val="2"/>
  </w:num>
  <w:num w:numId="8">
    <w:abstractNumId w:val="12"/>
  </w:num>
  <w:num w:numId="9">
    <w:abstractNumId w:val="1"/>
  </w:num>
  <w:num w:numId="10">
    <w:abstractNumId w:val="5"/>
  </w:num>
  <w:num w:numId="11">
    <w:abstractNumId w:val="10"/>
  </w:num>
  <w:num w:numId="12">
    <w:abstractNumId w:val="7"/>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52E46"/>
    <w:rsid w:val="00260251"/>
    <w:rsid w:val="00262F05"/>
    <w:rsid w:val="002707A1"/>
    <w:rsid w:val="002855CE"/>
    <w:rsid w:val="00285EA1"/>
    <w:rsid w:val="0028635F"/>
    <w:rsid w:val="002867DD"/>
    <w:rsid w:val="002927CD"/>
    <w:rsid w:val="002A4157"/>
    <w:rsid w:val="002B3B25"/>
    <w:rsid w:val="002B7345"/>
    <w:rsid w:val="002D104B"/>
    <w:rsid w:val="002D2A4C"/>
    <w:rsid w:val="002D499A"/>
    <w:rsid w:val="002E4AA0"/>
    <w:rsid w:val="002F6E86"/>
    <w:rsid w:val="00326CF2"/>
    <w:rsid w:val="00327128"/>
    <w:rsid w:val="003421BD"/>
    <w:rsid w:val="00344553"/>
    <w:rsid w:val="00345531"/>
    <w:rsid w:val="00346695"/>
    <w:rsid w:val="00351BF5"/>
    <w:rsid w:val="00354BA4"/>
    <w:rsid w:val="0037795E"/>
    <w:rsid w:val="00380E88"/>
    <w:rsid w:val="00393919"/>
    <w:rsid w:val="003A5B00"/>
    <w:rsid w:val="003A6BD5"/>
    <w:rsid w:val="003B0A2D"/>
    <w:rsid w:val="003D5A20"/>
    <w:rsid w:val="003E2711"/>
    <w:rsid w:val="003E6A8B"/>
    <w:rsid w:val="003F1329"/>
    <w:rsid w:val="003F6A56"/>
    <w:rsid w:val="00413ABE"/>
    <w:rsid w:val="00413C95"/>
    <w:rsid w:val="0042645C"/>
    <w:rsid w:val="00427ECA"/>
    <w:rsid w:val="0043065E"/>
    <w:rsid w:val="00435EA2"/>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4B7A"/>
    <w:rsid w:val="005B6F0A"/>
    <w:rsid w:val="005E21D9"/>
    <w:rsid w:val="005E32E0"/>
    <w:rsid w:val="005E415D"/>
    <w:rsid w:val="005F11A2"/>
    <w:rsid w:val="005F5226"/>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E95"/>
    <w:rsid w:val="00722132"/>
    <w:rsid w:val="00726A9C"/>
    <w:rsid w:val="007359BF"/>
    <w:rsid w:val="00743F26"/>
    <w:rsid w:val="00751942"/>
    <w:rsid w:val="00751A1E"/>
    <w:rsid w:val="007540E0"/>
    <w:rsid w:val="007544A8"/>
    <w:rsid w:val="0076668B"/>
    <w:rsid w:val="007749D9"/>
    <w:rsid w:val="00780F57"/>
    <w:rsid w:val="00783E1A"/>
    <w:rsid w:val="007914E0"/>
    <w:rsid w:val="0079284D"/>
    <w:rsid w:val="007A275D"/>
    <w:rsid w:val="007A32AF"/>
    <w:rsid w:val="007A78C0"/>
    <w:rsid w:val="007B1BA1"/>
    <w:rsid w:val="007C44DF"/>
    <w:rsid w:val="007C4690"/>
    <w:rsid w:val="007D13D9"/>
    <w:rsid w:val="007D4060"/>
    <w:rsid w:val="007E56A2"/>
    <w:rsid w:val="007F18AA"/>
    <w:rsid w:val="00800B54"/>
    <w:rsid w:val="00803AC4"/>
    <w:rsid w:val="00807B52"/>
    <w:rsid w:val="00813FF0"/>
    <w:rsid w:val="008223D4"/>
    <w:rsid w:val="008270A1"/>
    <w:rsid w:val="008321A4"/>
    <w:rsid w:val="00840F65"/>
    <w:rsid w:val="0084121D"/>
    <w:rsid w:val="00850F9C"/>
    <w:rsid w:val="00852DC3"/>
    <w:rsid w:val="008631A7"/>
    <w:rsid w:val="00876CBB"/>
    <w:rsid w:val="0088688A"/>
    <w:rsid w:val="00891265"/>
    <w:rsid w:val="00893761"/>
    <w:rsid w:val="00897498"/>
    <w:rsid w:val="00897F0B"/>
    <w:rsid w:val="008A25B9"/>
    <w:rsid w:val="008A3396"/>
    <w:rsid w:val="008C0D4C"/>
    <w:rsid w:val="008C2559"/>
    <w:rsid w:val="008C2974"/>
    <w:rsid w:val="008E01C3"/>
    <w:rsid w:val="008E3D62"/>
    <w:rsid w:val="008E4142"/>
    <w:rsid w:val="008F0587"/>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0DBF"/>
    <w:rsid w:val="00987BC9"/>
    <w:rsid w:val="009A18A7"/>
    <w:rsid w:val="009C26FD"/>
    <w:rsid w:val="009E1AB2"/>
    <w:rsid w:val="009E24E9"/>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BF0F7D"/>
    <w:rsid w:val="00C06302"/>
    <w:rsid w:val="00C25C7E"/>
    <w:rsid w:val="00C26CCD"/>
    <w:rsid w:val="00C312EA"/>
    <w:rsid w:val="00C32942"/>
    <w:rsid w:val="00C375AF"/>
    <w:rsid w:val="00C401F8"/>
    <w:rsid w:val="00C40DD8"/>
    <w:rsid w:val="00C44C35"/>
    <w:rsid w:val="00C472D6"/>
    <w:rsid w:val="00C526D5"/>
    <w:rsid w:val="00C60822"/>
    <w:rsid w:val="00C61072"/>
    <w:rsid w:val="00C87C5C"/>
    <w:rsid w:val="00C905A7"/>
    <w:rsid w:val="00CB034C"/>
    <w:rsid w:val="00CB4FDB"/>
    <w:rsid w:val="00CB51AD"/>
    <w:rsid w:val="00CC2F3E"/>
    <w:rsid w:val="00D01E04"/>
    <w:rsid w:val="00D05765"/>
    <w:rsid w:val="00D17D13"/>
    <w:rsid w:val="00D20E78"/>
    <w:rsid w:val="00D2724B"/>
    <w:rsid w:val="00D332C0"/>
    <w:rsid w:val="00D3403D"/>
    <w:rsid w:val="00D34050"/>
    <w:rsid w:val="00D363B6"/>
    <w:rsid w:val="00D37422"/>
    <w:rsid w:val="00D46E69"/>
    <w:rsid w:val="00D61422"/>
    <w:rsid w:val="00D761DC"/>
    <w:rsid w:val="00DB2463"/>
    <w:rsid w:val="00DC769E"/>
    <w:rsid w:val="00DD2A0D"/>
    <w:rsid w:val="00DD5296"/>
    <w:rsid w:val="00DE122E"/>
    <w:rsid w:val="00DE3CBB"/>
    <w:rsid w:val="00DE76CB"/>
    <w:rsid w:val="00DF0D26"/>
    <w:rsid w:val="00DF746E"/>
    <w:rsid w:val="00DF7D10"/>
    <w:rsid w:val="00E01FF6"/>
    <w:rsid w:val="00E103FB"/>
    <w:rsid w:val="00E1520C"/>
    <w:rsid w:val="00E15976"/>
    <w:rsid w:val="00E35140"/>
    <w:rsid w:val="00E359AC"/>
    <w:rsid w:val="00E37A36"/>
    <w:rsid w:val="00E42AEE"/>
    <w:rsid w:val="00E43A5D"/>
    <w:rsid w:val="00E533D0"/>
    <w:rsid w:val="00E55071"/>
    <w:rsid w:val="00E60EE1"/>
    <w:rsid w:val="00E72F99"/>
    <w:rsid w:val="00E77DF6"/>
    <w:rsid w:val="00E8352B"/>
    <w:rsid w:val="00E938DE"/>
    <w:rsid w:val="00EA2664"/>
    <w:rsid w:val="00EA468F"/>
    <w:rsid w:val="00EA509F"/>
    <w:rsid w:val="00EA6A49"/>
    <w:rsid w:val="00EA792E"/>
    <w:rsid w:val="00EB04E2"/>
    <w:rsid w:val="00EC21DD"/>
    <w:rsid w:val="00EC347E"/>
    <w:rsid w:val="00EC4BF6"/>
    <w:rsid w:val="00EC674F"/>
    <w:rsid w:val="00ED3A3C"/>
    <w:rsid w:val="00F03C60"/>
    <w:rsid w:val="00F05CB1"/>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paragraph" w:styleId="FootnoteText">
    <w:name w:val="footnote text"/>
    <w:basedOn w:val="Normal"/>
    <w:link w:val="FootnoteTextChar"/>
    <w:uiPriority w:val="99"/>
    <w:semiHidden/>
    <w:unhideWhenUsed/>
    <w:rsid w:val="009C26FD"/>
    <w:pPr>
      <w:jc w:val="both"/>
    </w:pPr>
    <w:rPr>
      <w:rFonts w:ascii="Arial" w:eastAsiaTheme="minorHAnsi" w:hAnsi="Arial" w:cstheme="minorBidi"/>
      <w:sz w:val="20"/>
      <w:szCs w:val="20"/>
      <w:lang w:val="en-ZA"/>
    </w:rPr>
  </w:style>
  <w:style w:type="character" w:customStyle="1" w:styleId="FootnoteTextChar">
    <w:name w:val="Footnote Text Char"/>
    <w:basedOn w:val="DefaultParagraphFont"/>
    <w:link w:val="FootnoteText"/>
    <w:uiPriority w:val="99"/>
    <w:semiHidden/>
    <w:rsid w:val="009C26FD"/>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9C26FD"/>
    <w:rPr>
      <w:vertAlign w:val="superscript"/>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4273-F8E2-419F-9EF6-881B2A16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2020-03-09T10:34:00Z</cp:lastPrinted>
  <dcterms:created xsi:type="dcterms:W3CDTF">2020-08-25T13:19:00Z</dcterms:created>
  <dcterms:modified xsi:type="dcterms:W3CDTF">2020-08-25T13:19:00Z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Estelle.Setan@Treasury.gov.za</vt:lpwstr>
  </property>
  <property fmtid="{D5CDD505-2E9C-101B-9397-08002B2CF9AE}" pid="5" name="MSIP_Label_93c4247e-447d-4732-af29-2e529a4288f1_SetDate">
    <vt:lpwstr>2020-07-01T14:47:12.7288664Z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ActionId">
    <vt:lpwstr>fb5eedff-4a4f-4f43-aa09-74dabda50512</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