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E57AF" w14:textId="77777777" w:rsidR="00DE1B3A" w:rsidRDefault="00DE1B3A" w:rsidP="00DD23B7">
      <w:pPr>
        <w:pStyle w:val="Title"/>
        <w:rPr>
          <w:rFonts w:ascii="Arial Narrow" w:hAnsi="Arial Narrow"/>
        </w:rPr>
      </w:pPr>
    </w:p>
    <w:p w14:paraId="4156C963" w14:textId="77777777" w:rsidR="00DE1B3A" w:rsidRDefault="00DE1B3A" w:rsidP="00DD23B7">
      <w:pPr>
        <w:pStyle w:val="Title"/>
        <w:rPr>
          <w:rFonts w:ascii="Arial Narrow" w:hAnsi="Arial Narrow"/>
        </w:rPr>
      </w:pPr>
      <w:bookmarkStart w:id="0" w:name="_GoBack"/>
      <w:bookmarkEnd w:id="0"/>
    </w:p>
    <w:p w14:paraId="3978BBA0" w14:textId="77777777" w:rsidR="00DE1B3A" w:rsidRDefault="00DE1B3A" w:rsidP="00DD23B7">
      <w:pPr>
        <w:pStyle w:val="Title"/>
        <w:rPr>
          <w:rFonts w:ascii="Arial Narrow" w:hAnsi="Arial Narrow"/>
        </w:rPr>
      </w:pPr>
    </w:p>
    <w:p w14:paraId="67C2A8BD" w14:textId="77777777" w:rsidR="00DE1B3A" w:rsidRDefault="00DE1B3A" w:rsidP="00DD23B7">
      <w:pPr>
        <w:pStyle w:val="Title"/>
        <w:rPr>
          <w:rFonts w:ascii="Arial Narrow" w:hAnsi="Arial Narrow"/>
        </w:rPr>
      </w:pPr>
    </w:p>
    <w:p w14:paraId="31D03CAB" w14:textId="77777777" w:rsidR="00DE1B3A" w:rsidRDefault="00DB7161" w:rsidP="00DD23B7">
      <w:pPr>
        <w:pStyle w:val="Title"/>
        <w:rPr>
          <w:rFonts w:ascii="Arial Narrow" w:hAnsi="Arial Narrow"/>
        </w:rPr>
      </w:pPr>
      <w:r>
        <w:rPr>
          <w:rFonts w:ascii="Arial Narrow" w:hAnsi="Arial Narrow"/>
          <w:noProof/>
          <w:lang w:val="en-ZA" w:eastAsia="en-ZA"/>
        </w:rPr>
        <w:drawing>
          <wp:inline distT="0" distB="0" distL="0" distR="0" wp14:anchorId="1E0F7ACD" wp14:editId="52E6C2E5">
            <wp:extent cx="2817495" cy="11163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7495" cy="1116330"/>
                    </a:xfrm>
                    <a:prstGeom prst="rect">
                      <a:avLst/>
                    </a:prstGeom>
                    <a:noFill/>
                    <a:ln>
                      <a:noFill/>
                    </a:ln>
                  </pic:spPr>
                </pic:pic>
              </a:graphicData>
            </a:graphic>
          </wp:inline>
        </w:drawing>
      </w:r>
    </w:p>
    <w:p w14:paraId="1CB43614" w14:textId="77777777" w:rsidR="00C31D92" w:rsidRDefault="00C31D92" w:rsidP="00DD23B7">
      <w:pPr>
        <w:pStyle w:val="Title"/>
      </w:pPr>
    </w:p>
    <w:p w14:paraId="488B5B75" w14:textId="77777777" w:rsidR="00383286" w:rsidRPr="009357F9" w:rsidRDefault="00383286" w:rsidP="00DD23B7">
      <w:pPr>
        <w:pStyle w:val="Title"/>
      </w:pPr>
      <w:r w:rsidRPr="009357F9">
        <w:t xml:space="preserve">NATIONAL </w:t>
      </w:r>
      <w:r w:rsidR="003164ED" w:rsidRPr="009357F9">
        <w:t>ASSEMBLY</w:t>
      </w:r>
    </w:p>
    <w:p w14:paraId="25406834" w14:textId="77777777" w:rsidR="00383286" w:rsidRPr="00DD23B7" w:rsidRDefault="00383286" w:rsidP="00DD23B7">
      <w:pPr>
        <w:spacing w:line="320" w:lineRule="exact"/>
        <w:jc w:val="both"/>
        <w:rPr>
          <w:rFonts w:ascii="Arial Narrow" w:hAnsi="Arial Narrow" w:cs="Arial"/>
        </w:rPr>
      </w:pPr>
    </w:p>
    <w:p w14:paraId="32EA5E6B" w14:textId="77777777"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14:paraId="64350C4E" w14:textId="77777777" w:rsidR="00383286" w:rsidRPr="009357F9" w:rsidRDefault="00383286" w:rsidP="0076681A">
      <w:pPr>
        <w:spacing w:line="320" w:lineRule="exact"/>
        <w:jc w:val="both"/>
        <w:rPr>
          <w:rFonts w:ascii="Arial" w:hAnsi="Arial" w:cs="Arial"/>
          <w:b/>
          <w:bCs/>
        </w:rPr>
      </w:pPr>
    </w:p>
    <w:p w14:paraId="6225F994" w14:textId="77777777"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7F55FC">
        <w:rPr>
          <w:u w:val="none"/>
        </w:rPr>
        <w:t>1</w:t>
      </w:r>
      <w:r w:rsidR="00B71E52">
        <w:rPr>
          <w:u w:val="none"/>
        </w:rPr>
        <w:t>14</w:t>
      </w:r>
      <w:r w:rsidR="00D60933">
        <w:rPr>
          <w:u w:val="none"/>
        </w:rPr>
        <w:t>5</w:t>
      </w:r>
    </w:p>
    <w:p w14:paraId="65E49C86" w14:textId="77777777" w:rsidR="009357F9" w:rsidRPr="009357F9" w:rsidRDefault="009357F9" w:rsidP="009357F9"/>
    <w:p w14:paraId="0E55A0E4" w14:textId="77777777"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6B4578">
        <w:rPr>
          <w:rFonts w:ascii="Arial" w:hAnsi="Arial" w:cs="Arial"/>
          <w:b/>
          <w:bCs/>
        </w:rPr>
        <w:t xml:space="preserve">20 APRIL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14:paraId="060A0700" w14:textId="77777777" w:rsidR="00383286" w:rsidRPr="009357F9" w:rsidRDefault="00383286" w:rsidP="00C3335E">
      <w:pPr>
        <w:spacing w:line="320" w:lineRule="exact"/>
        <w:jc w:val="both"/>
        <w:rPr>
          <w:rFonts w:ascii="Arial" w:hAnsi="Arial" w:cs="Arial"/>
          <w:b/>
          <w:bCs/>
        </w:rPr>
      </w:pPr>
    </w:p>
    <w:p w14:paraId="49BB3901" w14:textId="77777777" w:rsidR="00383286" w:rsidRPr="009357F9" w:rsidRDefault="009357F9" w:rsidP="00C3335E">
      <w:pPr>
        <w:pStyle w:val="Heading2"/>
        <w:spacing w:line="320" w:lineRule="exact"/>
        <w:jc w:val="both"/>
        <w:rPr>
          <w:u w:val="none"/>
        </w:rPr>
      </w:pPr>
      <w:r>
        <w:rPr>
          <w:u w:val="none"/>
        </w:rPr>
        <w:t xml:space="preserve">INTERNAL QUESTION PAPER </w:t>
      </w:r>
      <w:r w:rsidR="00C31D92">
        <w:rPr>
          <w:u w:val="none"/>
        </w:rPr>
        <w:t>1</w:t>
      </w:r>
      <w:r w:rsidR="006B4578">
        <w:rPr>
          <w:u w:val="none"/>
        </w:rPr>
        <w:t>2</w:t>
      </w:r>
      <w:r w:rsidR="00C31D92">
        <w:rPr>
          <w:u w:val="none"/>
        </w:rPr>
        <w:t xml:space="preserve"> </w:t>
      </w:r>
      <w:r>
        <w:rPr>
          <w:u w:val="none"/>
        </w:rPr>
        <w:t>OF 201</w:t>
      </w:r>
      <w:r w:rsidR="00C31D92">
        <w:rPr>
          <w:u w:val="none"/>
        </w:rPr>
        <w:t>8</w:t>
      </w:r>
    </w:p>
    <w:p w14:paraId="2E86C96F" w14:textId="77777777" w:rsidR="00CD4224" w:rsidRPr="009357F9" w:rsidRDefault="00CD4224" w:rsidP="00C3335E">
      <w:pPr>
        <w:spacing w:line="320" w:lineRule="exact"/>
        <w:jc w:val="both"/>
        <w:outlineLvl w:val="0"/>
        <w:rPr>
          <w:rFonts w:ascii="Arial" w:hAnsi="Arial" w:cs="Arial"/>
        </w:rPr>
      </w:pPr>
    </w:p>
    <w:p w14:paraId="03EA7AA6" w14:textId="77777777" w:rsidR="009357F9" w:rsidRDefault="009357F9" w:rsidP="002520FF">
      <w:pPr>
        <w:spacing w:line="320" w:lineRule="exact"/>
        <w:jc w:val="both"/>
        <w:rPr>
          <w:rFonts w:ascii="Arial" w:hAnsi="Arial" w:cs="Arial"/>
          <w:b/>
          <w:lang w:val="en-US"/>
        </w:rPr>
      </w:pPr>
    </w:p>
    <w:p w14:paraId="556FE52E" w14:textId="77777777" w:rsidR="007F55FC" w:rsidRPr="009E5399" w:rsidRDefault="00D60933" w:rsidP="009E5399">
      <w:pPr>
        <w:spacing w:line="320" w:lineRule="exact"/>
        <w:jc w:val="both"/>
        <w:rPr>
          <w:rFonts w:ascii="Arial" w:hAnsi="Arial" w:cs="Arial"/>
          <w:b/>
        </w:rPr>
      </w:pPr>
      <w:proofErr w:type="gramStart"/>
      <w:r w:rsidRPr="00D60933">
        <w:rPr>
          <w:rFonts w:ascii="Arial" w:hAnsi="Arial" w:cs="Arial"/>
          <w:b/>
          <w:lang w:val="en-ZA"/>
        </w:rPr>
        <w:t>1145.</w:t>
      </w:r>
      <w:r w:rsidRPr="00D60933">
        <w:rPr>
          <w:rFonts w:ascii="Arial" w:hAnsi="Arial" w:cs="Arial"/>
          <w:b/>
          <w:lang w:val="en-ZA"/>
        </w:rPr>
        <w:tab/>
        <w:t xml:space="preserve">Mr A M </w:t>
      </w:r>
      <w:proofErr w:type="spellStart"/>
      <w:r w:rsidRPr="00D60933">
        <w:rPr>
          <w:rFonts w:ascii="Arial" w:hAnsi="Arial" w:cs="Arial"/>
          <w:b/>
          <w:lang w:val="en-ZA"/>
        </w:rPr>
        <w:t>Figlan</w:t>
      </w:r>
      <w:proofErr w:type="spellEnd"/>
      <w:r w:rsidRPr="00D60933">
        <w:rPr>
          <w:rFonts w:ascii="Arial" w:hAnsi="Arial" w:cs="Arial"/>
          <w:b/>
          <w:lang w:val="en-ZA"/>
        </w:rPr>
        <w:t xml:space="preserve"> (DA)</w:t>
      </w:r>
      <w:proofErr w:type="gramEnd"/>
      <w:r w:rsidRPr="00D60933">
        <w:rPr>
          <w:rFonts w:ascii="Arial" w:hAnsi="Arial" w:cs="Arial"/>
          <w:b/>
          <w:lang w:val="en-ZA"/>
        </w:rPr>
        <w:t xml:space="preserve"> to ask the Minister of Home Affairs</w:t>
      </w:r>
    </w:p>
    <w:p w14:paraId="40B7FC5D" w14:textId="77777777" w:rsidR="00D60933" w:rsidRDefault="00D60933" w:rsidP="002003CB">
      <w:pPr>
        <w:spacing w:line="320" w:lineRule="exact"/>
        <w:jc w:val="both"/>
        <w:rPr>
          <w:rFonts w:ascii="Arial" w:hAnsi="Arial" w:cs="Arial"/>
          <w:lang w:val="en-ZA"/>
        </w:rPr>
      </w:pPr>
    </w:p>
    <w:p w14:paraId="6D594FC7" w14:textId="77777777" w:rsidR="00D60933" w:rsidRDefault="00D60933" w:rsidP="00D60933">
      <w:pPr>
        <w:spacing w:line="320" w:lineRule="exact"/>
        <w:ind w:left="709" w:hanging="709"/>
        <w:jc w:val="both"/>
        <w:rPr>
          <w:rFonts w:ascii="Arial" w:hAnsi="Arial" w:cs="Arial"/>
          <w:lang w:val="en-ZA"/>
        </w:rPr>
      </w:pPr>
      <w:r w:rsidRPr="00D60933">
        <w:rPr>
          <w:rFonts w:ascii="Arial" w:hAnsi="Arial" w:cs="Arial"/>
          <w:lang w:val="en-ZA"/>
        </w:rPr>
        <w:t>(1)</w:t>
      </w:r>
      <w:r w:rsidRPr="00D60933">
        <w:rPr>
          <w:rFonts w:ascii="Arial" w:hAnsi="Arial" w:cs="Arial"/>
          <w:lang w:val="en-ZA"/>
        </w:rPr>
        <w:tab/>
        <w:t xml:space="preserve">Has his department complied fully with the orders of the Supreme Court of Appeal in (a) </w:t>
      </w:r>
      <w:r w:rsidRPr="00D60933">
        <w:rPr>
          <w:rFonts w:ascii="Arial" w:hAnsi="Arial" w:cs="Arial"/>
          <w:i/>
          <w:iCs/>
          <w:lang w:val="en-ZA"/>
        </w:rPr>
        <w:t>Minister of Home Affairs and others v DGLR and another</w:t>
      </w:r>
      <w:r w:rsidRPr="00D60933">
        <w:rPr>
          <w:rFonts w:ascii="Arial" w:hAnsi="Arial" w:cs="Arial"/>
          <w:lang w:val="en-ZA"/>
        </w:rPr>
        <w:t xml:space="preserve"> (Case number 1051/2015 SCA) and (b) </w:t>
      </w:r>
      <w:r w:rsidRPr="00D60933">
        <w:rPr>
          <w:rFonts w:ascii="Arial" w:hAnsi="Arial" w:cs="Arial"/>
          <w:i/>
          <w:iCs/>
          <w:lang w:val="en-ZA"/>
        </w:rPr>
        <w:t>Scalabrini Centre, Cape Town and Others v Minister of Home Affairs and Others</w:t>
      </w:r>
      <w:r w:rsidRPr="00D60933">
        <w:rPr>
          <w:rFonts w:ascii="Arial" w:hAnsi="Arial" w:cs="Arial"/>
          <w:lang w:val="en-ZA"/>
        </w:rPr>
        <w:t xml:space="preserve"> (Case number 1107/2016) [2017] ZASCA 126, [2017] 4 All SA 686 (SCA) (29 September 2017); if not, what is the position in this regard; if so, what are the relevant details;</w:t>
      </w:r>
    </w:p>
    <w:p w14:paraId="165676E3" w14:textId="77777777" w:rsidR="00D60933" w:rsidRPr="00D60933" w:rsidRDefault="00D60933" w:rsidP="00D60933">
      <w:pPr>
        <w:spacing w:line="320" w:lineRule="exact"/>
        <w:ind w:left="709" w:hanging="709"/>
        <w:jc w:val="both"/>
        <w:rPr>
          <w:rFonts w:ascii="Arial" w:hAnsi="Arial" w:cs="Arial"/>
          <w:lang w:val="en-ZA"/>
        </w:rPr>
      </w:pPr>
    </w:p>
    <w:p w14:paraId="0E1BA408" w14:textId="77777777" w:rsidR="00D60933" w:rsidRDefault="00D60933" w:rsidP="00D60933">
      <w:pPr>
        <w:spacing w:line="320" w:lineRule="exact"/>
        <w:ind w:left="709" w:hanging="709"/>
        <w:jc w:val="both"/>
        <w:rPr>
          <w:rFonts w:ascii="Arial" w:hAnsi="Arial" w:cs="Arial"/>
          <w:lang w:val="en-ZA"/>
        </w:rPr>
      </w:pPr>
      <w:r w:rsidRPr="00D60933">
        <w:rPr>
          <w:rFonts w:ascii="Arial" w:hAnsi="Arial" w:cs="Arial"/>
          <w:lang w:val="en-ZA"/>
        </w:rPr>
        <w:t>(2)</w:t>
      </w:r>
      <w:r w:rsidRPr="00D60933">
        <w:rPr>
          <w:rFonts w:ascii="Arial" w:hAnsi="Arial" w:cs="Arial"/>
          <w:lang w:val="en-ZA"/>
        </w:rPr>
        <w:tab/>
        <w:t>what are the details of the steps taken by his department to comply with these orders, specifically in relation to (a) the identity number and birth certificate of the child in case number 1051/2015, (b) the promulgation of the regulations to section 2(2) of the South African Citizenship Act, Act 88 of 1995, as amended, (c) the re-opening of the Cape Town Refugee Reception Office and (d) the reports to be submitted to the appellants by the Director-General on 31 October 2017 and monthly thereafter;</w:t>
      </w:r>
    </w:p>
    <w:p w14:paraId="557077E9" w14:textId="77777777" w:rsidR="00D60933" w:rsidRPr="00D60933" w:rsidRDefault="00D60933" w:rsidP="00D60933">
      <w:pPr>
        <w:spacing w:line="320" w:lineRule="exact"/>
        <w:ind w:left="709" w:hanging="709"/>
        <w:jc w:val="both"/>
        <w:rPr>
          <w:rFonts w:ascii="Arial" w:hAnsi="Arial" w:cs="Arial"/>
          <w:lang w:val="en-ZA"/>
        </w:rPr>
      </w:pPr>
    </w:p>
    <w:p w14:paraId="56B4F78A" w14:textId="77777777" w:rsidR="006408C7" w:rsidRDefault="00D60933" w:rsidP="00D60933">
      <w:pPr>
        <w:spacing w:line="320" w:lineRule="exact"/>
        <w:ind w:left="709" w:hanging="709"/>
        <w:jc w:val="both"/>
        <w:rPr>
          <w:rFonts w:ascii="Arial" w:hAnsi="Arial" w:cs="Arial"/>
          <w:b/>
        </w:rPr>
      </w:pPr>
      <w:r w:rsidRPr="00D60933">
        <w:rPr>
          <w:rFonts w:ascii="Arial" w:hAnsi="Arial" w:cs="Arial"/>
          <w:lang w:val="en-ZA"/>
        </w:rPr>
        <w:t>(3)</w:t>
      </w:r>
      <w:r w:rsidRPr="00D60933">
        <w:rPr>
          <w:rFonts w:ascii="Arial" w:hAnsi="Arial" w:cs="Arial"/>
          <w:lang w:val="en-ZA"/>
        </w:rPr>
        <w:tab/>
      </w:r>
      <w:proofErr w:type="gramStart"/>
      <w:r w:rsidRPr="00D60933">
        <w:rPr>
          <w:rFonts w:ascii="Arial" w:hAnsi="Arial" w:cs="Arial"/>
          <w:lang w:val="en-ZA"/>
        </w:rPr>
        <w:t>what</w:t>
      </w:r>
      <w:proofErr w:type="gramEnd"/>
      <w:r w:rsidRPr="00D60933">
        <w:rPr>
          <w:rFonts w:ascii="Arial" w:hAnsi="Arial" w:cs="Arial"/>
          <w:lang w:val="en-ZA"/>
        </w:rPr>
        <w:t xml:space="preserve"> is the current status of the child who is the subject of case number 1051/2015 if the order above has not fully been complied with?</w:t>
      </w:r>
      <w:r w:rsidRPr="00D60933">
        <w:rPr>
          <w:rFonts w:ascii="Arial" w:hAnsi="Arial" w:cs="Arial"/>
          <w:lang w:val="en-ZA"/>
        </w:rPr>
        <w:tab/>
        <w:t>NW1239E</w:t>
      </w:r>
      <w:r w:rsidR="007F55FC" w:rsidRPr="007F55FC">
        <w:rPr>
          <w:rFonts w:ascii="Arial" w:hAnsi="Arial" w:cs="Arial"/>
          <w:lang w:val="en-ZA"/>
        </w:rPr>
        <w:tab/>
      </w:r>
      <w:r w:rsidR="007F55FC" w:rsidRPr="007F55FC">
        <w:rPr>
          <w:rFonts w:ascii="Arial" w:hAnsi="Arial" w:cs="Arial"/>
          <w:lang w:val="en-ZA"/>
        </w:rPr>
        <w:tab/>
      </w:r>
      <w:r w:rsidR="007F55FC" w:rsidRPr="007F55FC">
        <w:rPr>
          <w:rFonts w:ascii="Arial" w:hAnsi="Arial" w:cs="Arial"/>
          <w:lang w:val="en-ZA"/>
        </w:rPr>
        <w:tab/>
      </w:r>
      <w:r w:rsidR="007F55FC" w:rsidRPr="007F55FC">
        <w:rPr>
          <w:rFonts w:ascii="Arial" w:hAnsi="Arial" w:cs="Arial"/>
          <w:lang w:val="en-ZA"/>
        </w:rPr>
        <w:tab/>
      </w:r>
      <w:r w:rsidR="007F55FC">
        <w:rPr>
          <w:rFonts w:ascii="Arial" w:hAnsi="Arial" w:cs="Arial"/>
          <w:lang w:val="en-ZA"/>
        </w:rPr>
        <w:t xml:space="preserve">                                                                   </w:t>
      </w:r>
    </w:p>
    <w:p w14:paraId="7789576D" w14:textId="77777777" w:rsidR="00D60933" w:rsidRDefault="00D60933" w:rsidP="00C02879">
      <w:pPr>
        <w:spacing w:line="320" w:lineRule="exact"/>
        <w:jc w:val="both"/>
        <w:rPr>
          <w:rFonts w:ascii="Arial" w:hAnsi="Arial" w:cs="Arial"/>
          <w:b/>
        </w:rPr>
      </w:pPr>
    </w:p>
    <w:p w14:paraId="6AEBD8D2" w14:textId="77777777" w:rsidR="005F3D35" w:rsidRDefault="005F3D35" w:rsidP="00C02879">
      <w:pPr>
        <w:spacing w:line="320" w:lineRule="exact"/>
        <w:jc w:val="both"/>
        <w:rPr>
          <w:rFonts w:ascii="Arial" w:hAnsi="Arial" w:cs="Arial"/>
          <w:b/>
        </w:rPr>
      </w:pPr>
    </w:p>
    <w:p w14:paraId="74E9E39A" w14:textId="77777777" w:rsidR="005F3D35" w:rsidRDefault="005F3D35" w:rsidP="00C02879">
      <w:pPr>
        <w:spacing w:line="320" w:lineRule="exact"/>
        <w:jc w:val="both"/>
        <w:rPr>
          <w:rFonts w:ascii="Arial" w:hAnsi="Arial" w:cs="Arial"/>
          <w:b/>
        </w:rPr>
      </w:pPr>
    </w:p>
    <w:p w14:paraId="4BCD79C4" w14:textId="77777777" w:rsidR="005F3D35" w:rsidRDefault="005F3D35" w:rsidP="00C02879">
      <w:pPr>
        <w:spacing w:line="320" w:lineRule="exact"/>
        <w:jc w:val="both"/>
        <w:rPr>
          <w:rFonts w:ascii="Arial" w:hAnsi="Arial" w:cs="Arial"/>
          <w:b/>
        </w:rPr>
      </w:pPr>
    </w:p>
    <w:p w14:paraId="24C5208F" w14:textId="77777777" w:rsidR="005F3D35" w:rsidRDefault="005F3D35" w:rsidP="00C02879">
      <w:pPr>
        <w:spacing w:line="320" w:lineRule="exact"/>
        <w:jc w:val="both"/>
        <w:rPr>
          <w:rFonts w:ascii="Arial" w:hAnsi="Arial" w:cs="Arial"/>
          <w:b/>
        </w:rPr>
      </w:pPr>
    </w:p>
    <w:p w14:paraId="397EC4F3" w14:textId="77777777" w:rsidR="005F3D35" w:rsidRDefault="005F3D35" w:rsidP="00C02879">
      <w:pPr>
        <w:spacing w:line="320" w:lineRule="exact"/>
        <w:jc w:val="both"/>
        <w:rPr>
          <w:rFonts w:ascii="Arial" w:hAnsi="Arial" w:cs="Arial"/>
          <w:b/>
        </w:rPr>
      </w:pPr>
    </w:p>
    <w:p w14:paraId="4F565E31" w14:textId="77777777" w:rsidR="000E1704" w:rsidRDefault="000E1704" w:rsidP="00C02879">
      <w:pPr>
        <w:spacing w:line="320" w:lineRule="exact"/>
        <w:jc w:val="both"/>
        <w:rPr>
          <w:rFonts w:ascii="Arial" w:hAnsi="Arial" w:cs="Arial"/>
          <w:b/>
        </w:rPr>
      </w:pPr>
    </w:p>
    <w:p w14:paraId="3F685551" w14:textId="77777777" w:rsidR="000E1704" w:rsidRDefault="000E1704" w:rsidP="00C02879">
      <w:pPr>
        <w:spacing w:line="320" w:lineRule="exact"/>
        <w:jc w:val="both"/>
        <w:rPr>
          <w:rFonts w:ascii="Arial" w:hAnsi="Arial" w:cs="Arial"/>
          <w:b/>
        </w:rPr>
      </w:pPr>
    </w:p>
    <w:p w14:paraId="209DE443" w14:textId="77777777" w:rsidR="000E1704" w:rsidRDefault="000E1704" w:rsidP="00C02879">
      <w:pPr>
        <w:spacing w:line="320" w:lineRule="exact"/>
        <w:jc w:val="both"/>
        <w:rPr>
          <w:rFonts w:ascii="Arial" w:hAnsi="Arial" w:cs="Arial"/>
          <w:b/>
        </w:rPr>
      </w:pPr>
    </w:p>
    <w:p w14:paraId="644A9E07" w14:textId="77777777" w:rsidR="00431D6E" w:rsidRDefault="005F3D35" w:rsidP="00C02879">
      <w:pPr>
        <w:spacing w:line="320" w:lineRule="exact"/>
        <w:jc w:val="both"/>
        <w:rPr>
          <w:rFonts w:ascii="Arial" w:hAnsi="Arial" w:cs="Arial"/>
          <w:b/>
        </w:rPr>
      </w:pPr>
      <w:r>
        <w:rPr>
          <w:rFonts w:ascii="Arial" w:hAnsi="Arial" w:cs="Arial"/>
          <w:b/>
        </w:rPr>
        <w:lastRenderedPageBreak/>
        <w:t xml:space="preserve">REPLY: </w:t>
      </w:r>
    </w:p>
    <w:p w14:paraId="1D9D5B85" w14:textId="77777777" w:rsidR="00431D6E" w:rsidRDefault="005F3D35" w:rsidP="00C02879">
      <w:pPr>
        <w:spacing w:line="320" w:lineRule="exact"/>
        <w:jc w:val="both"/>
        <w:rPr>
          <w:rFonts w:ascii="Arial" w:hAnsi="Arial" w:cs="Arial"/>
          <w:b/>
        </w:rPr>
      </w:pPr>
      <w:r>
        <w:rPr>
          <w:rFonts w:ascii="Arial" w:hAnsi="Arial" w:cs="Arial"/>
          <w:b/>
        </w:rPr>
        <w:t xml:space="preserve">1 </w:t>
      </w:r>
      <w:r w:rsidR="00431D6E">
        <w:rPr>
          <w:rFonts w:ascii="Arial" w:hAnsi="Arial" w:cs="Arial"/>
          <w:b/>
        </w:rPr>
        <w:t>(a)</w:t>
      </w:r>
      <w:r w:rsidR="00431D6E">
        <w:rPr>
          <w:rFonts w:ascii="Arial" w:hAnsi="Arial" w:cs="Arial"/>
          <w:b/>
        </w:rPr>
        <w:tab/>
        <w:t>No</w:t>
      </w:r>
    </w:p>
    <w:p w14:paraId="38CCC326" w14:textId="77777777" w:rsidR="00431D6E" w:rsidRDefault="00431D6E" w:rsidP="00C02879">
      <w:pPr>
        <w:spacing w:line="320" w:lineRule="exact"/>
        <w:jc w:val="both"/>
        <w:rPr>
          <w:rFonts w:ascii="Arial" w:hAnsi="Arial" w:cs="Arial"/>
          <w:b/>
        </w:rPr>
      </w:pPr>
    </w:p>
    <w:p w14:paraId="22676DBC" w14:textId="77777777" w:rsidR="003A2662" w:rsidRDefault="001F33EF" w:rsidP="00C02879">
      <w:pPr>
        <w:spacing w:line="320" w:lineRule="exact"/>
        <w:jc w:val="both"/>
        <w:rPr>
          <w:rFonts w:ascii="Arial" w:hAnsi="Arial" w:cs="Arial"/>
        </w:rPr>
      </w:pPr>
      <w:r>
        <w:rPr>
          <w:rFonts w:ascii="Arial" w:hAnsi="Arial" w:cs="Arial"/>
        </w:rPr>
        <w:t xml:space="preserve">On </w:t>
      </w:r>
      <w:r w:rsidR="00431D6E">
        <w:rPr>
          <w:rFonts w:ascii="Arial" w:hAnsi="Arial" w:cs="Arial"/>
        </w:rPr>
        <w:t>7 October 2016, the Department instituted a rescission application under Case No: 38429/13</w:t>
      </w:r>
      <w:r>
        <w:rPr>
          <w:rFonts w:ascii="Arial" w:hAnsi="Arial" w:cs="Arial"/>
        </w:rPr>
        <w:t xml:space="preserve">, as it contends that the court order herein was </w:t>
      </w:r>
      <w:r w:rsidR="003A2662">
        <w:rPr>
          <w:rFonts w:ascii="Arial" w:hAnsi="Arial" w:cs="Arial"/>
        </w:rPr>
        <w:t xml:space="preserve">erroneously sought and erroneously granted. The Cuban parents’ contention that their child was denied Cuban citizenship is incorrect and the Department will show this, with the aid of the Cuban Embassy. </w:t>
      </w:r>
    </w:p>
    <w:p w14:paraId="74E99278" w14:textId="77777777" w:rsidR="003A2662" w:rsidRDefault="003A2662" w:rsidP="00C02879">
      <w:pPr>
        <w:spacing w:line="320" w:lineRule="exact"/>
        <w:jc w:val="both"/>
        <w:rPr>
          <w:rFonts w:ascii="Arial" w:hAnsi="Arial" w:cs="Arial"/>
        </w:rPr>
      </w:pPr>
    </w:p>
    <w:p w14:paraId="3FA5093E" w14:textId="77777777" w:rsidR="003A2662" w:rsidRDefault="003A2662" w:rsidP="00C02879">
      <w:pPr>
        <w:spacing w:line="320" w:lineRule="exact"/>
        <w:jc w:val="both"/>
        <w:rPr>
          <w:rFonts w:ascii="Arial" w:hAnsi="Arial" w:cs="Arial"/>
        </w:rPr>
      </w:pPr>
      <w:r>
        <w:rPr>
          <w:rFonts w:ascii="Arial" w:hAnsi="Arial" w:cs="Arial"/>
        </w:rPr>
        <w:t xml:space="preserve">The State Attorney: Pretoria has been having difficulties in translating the Cuban Amended Immigration Laws and their Citizenship Rules, which are pivotal for the Department’s case. Once this is done, the Department will then file its Replying Affidavit (to the parents’ Answering Affidavit, which is in reply to the Department’s rescission application). Thereafter, the matter will be set down for hearing at court. </w:t>
      </w:r>
    </w:p>
    <w:p w14:paraId="39606EE8" w14:textId="77777777" w:rsidR="003A2662" w:rsidRDefault="003A2662" w:rsidP="00C02879">
      <w:pPr>
        <w:spacing w:line="320" w:lineRule="exact"/>
        <w:jc w:val="both"/>
        <w:rPr>
          <w:rFonts w:ascii="Arial" w:hAnsi="Arial" w:cs="Arial"/>
        </w:rPr>
      </w:pPr>
    </w:p>
    <w:p w14:paraId="438B9CE3" w14:textId="77777777" w:rsidR="006770B5" w:rsidRDefault="006770B5" w:rsidP="00C02879">
      <w:pPr>
        <w:spacing w:line="320" w:lineRule="exact"/>
        <w:jc w:val="both"/>
        <w:rPr>
          <w:rFonts w:ascii="Arial" w:hAnsi="Arial" w:cs="Arial"/>
        </w:rPr>
      </w:pPr>
    </w:p>
    <w:p w14:paraId="5E0E8BCD" w14:textId="77777777" w:rsidR="005F3D35" w:rsidRDefault="00431D6E" w:rsidP="00C02879">
      <w:pPr>
        <w:spacing w:line="320" w:lineRule="exact"/>
        <w:jc w:val="both"/>
        <w:rPr>
          <w:rFonts w:ascii="Arial" w:hAnsi="Arial" w:cs="Arial"/>
          <w:b/>
        </w:rPr>
      </w:pPr>
      <w:r>
        <w:rPr>
          <w:rFonts w:ascii="Arial" w:hAnsi="Arial" w:cs="Arial"/>
          <w:b/>
        </w:rPr>
        <w:t>1</w:t>
      </w:r>
      <w:r w:rsidR="005F3D35">
        <w:rPr>
          <w:rFonts w:ascii="Arial" w:hAnsi="Arial" w:cs="Arial"/>
          <w:b/>
        </w:rPr>
        <w:t>(b) NO</w:t>
      </w:r>
    </w:p>
    <w:p w14:paraId="6F16216B" w14:textId="77777777" w:rsidR="005F3D35" w:rsidRDefault="005F3D35" w:rsidP="00C02879">
      <w:pPr>
        <w:spacing w:line="320" w:lineRule="exact"/>
        <w:jc w:val="both"/>
        <w:rPr>
          <w:rFonts w:ascii="Arial" w:hAnsi="Arial" w:cs="Arial"/>
          <w:b/>
        </w:rPr>
      </w:pPr>
    </w:p>
    <w:p w14:paraId="3F0CFFEE" w14:textId="77777777" w:rsidR="0078029C" w:rsidRDefault="005F3D35" w:rsidP="0078029C">
      <w:pPr>
        <w:spacing w:line="264" w:lineRule="auto"/>
        <w:jc w:val="both"/>
        <w:rPr>
          <w:rFonts w:ascii="Arial" w:eastAsia="Calibri" w:hAnsi="Arial" w:cs="Arial"/>
          <w:bCs/>
        </w:rPr>
      </w:pPr>
      <w:r>
        <w:rPr>
          <w:rFonts w:ascii="Arial" w:eastAsia="Calibri" w:hAnsi="Arial" w:cs="Arial"/>
          <w:bCs/>
        </w:rPr>
        <w:t>The Department is working with the Department of Public Works to get the process of identifying a suitable place/office for the re-opening of the Cape Town Refugee Reception Office. The Department has engaged DPW Western Cape Regional Office mid December 2017 advising them of the judgment. Following internal</w:t>
      </w:r>
      <w:r w:rsidR="0078029C">
        <w:rPr>
          <w:rFonts w:ascii="Arial" w:eastAsia="Calibri" w:hAnsi="Arial" w:cs="Arial"/>
          <w:bCs/>
        </w:rPr>
        <w:t xml:space="preserve"> processes, the Department wrote to DPW Director – General, on 22 January 2018 submitting the initial needs assessment for office accommodation. </w:t>
      </w:r>
    </w:p>
    <w:p w14:paraId="70C32340" w14:textId="77777777" w:rsidR="0078029C" w:rsidRDefault="0078029C" w:rsidP="0078029C">
      <w:pPr>
        <w:spacing w:line="264" w:lineRule="auto"/>
        <w:jc w:val="both"/>
        <w:rPr>
          <w:rFonts w:ascii="Arial" w:eastAsia="Calibri" w:hAnsi="Arial" w:cs="Arial"/>
          <w:bCs/>
        </w:rPr>
      </w:pPr>
    </w:p>
    <w:p w14:paraId="092C4DA2" w14:textId="77777777" w:rsidR="0078029C" w:rsidRDefault="0078029C" w:rsidP="0078029C">
      <w:pPr>
        <w:spacing w:line="264" w:lineRule="auto"/>
        <w:jc w:val="both"/>
        <w:rPr>
          <w:rFonts w:ascii="Arial" w:eastAsia="Calibri" w:hAnsi="Arial" w:cs="Arial"/>
          <w:bCs/>
        </w:rPr>
      </w:pPr>
      <w:r>
        <w:rPr>
          <w:rFonts w:ascii="Arial" w:eastAsia="Calibri" w:hAnsi="Arial" w:cs="Arial"/>
          <w:bCs/>
        </w:rPr>
        <w:t xml:space="preserve">Subsequently, the DPW responded asking for corrections and adjustments. The Department submitted the final needs assessment to the DPW during February 2018 and their Head Office has issued a procurement instruction to their Regional Office in Cape Town. </w:t>
      </w:r>
    </w:p>
    <w:p w14:paraId="03AAEB3D" w14:textId="77777777" w:rsidR="0078029C" w:rsidRDefault="0078029C" w:rsidP="0078029C">
      <w:pPr>
        <w:spacing w:line="264" w:lineRule="auto"/>
        <w:jc w:val="both"/>
        <w:rPr>
          <w:rFonts w:ascii="Arial" w:eastAsia="Calibri" w:hAnsi="Arial" w:cs="Arial"/>
          <w:bCs/>
        </w:rPr>
      </w:pPr>
    </w:p>
    <w:p w14:paraId="4F0F3D27" w14:textId="77777777" w:rsidR="0078029C" w:rsidRDefault="0078029C" w:rsidP="0078029C">
      <w:pPr>
        <w:spacing w:line="264" w:lineRule="auto"/>
        <w:jc w:val="both"/>
        <w:rPr>
          <w:rFonts w:ascii="Arial" w:eastAsia="Calibri" w:hAnsi="Arial" w:cs="Arial"/>
          <w:bCs/>
        </w:rPr>
      </w:pPr>
      <w:r>
        <w:rPr>
          <w:rFonts w:ascii="Arial" w:eastAsia="Calibri" w:hAnsi="Arial" w:cs="Arial"/>
          <w:bCs/>
        </w:rPr>
        <w:t>The Department of Public Works provided a project execution plan on 6 April 2018 whereby the estimated time of occupation is 1 October 2018, which will allow the Department to start operating as soon as possible after the handover.</w:t>
      </w:r>
    </w:p>
    <w:p w14:paraId="16A9F1A3" w14:textId="77777777" w:rsidR="0078029C" w:rsidRDefault="0078029C" w:rsidP="0078029C">
      <w:pPr>
        <w:spacing w:line="264" w:lineRule="auto"/>
        <w:jc w:val="both"/>
        <w:rPr>
          <w:rFonts w:ascii="Arial" w:eastAsia="Calibri" w:hAnsi="Arial" w:cs="Arial"/>
          <w:bCs/>
        </w:rPr>
      </w:pPr>
    </w:p>
    <w:p w14:paraId="10A7C658" w14:textId="77777777" w:rsidR="0078029C" w:rsidRDefault="0078029C" w:rsidP="0078029C">
      <w:pPr>
        <w:spacing w:line="264" w:lineRule="auto"/>
        <w:jc w:val="both"/>
        <w:rPr>
          <w:rFonts w:ascii="Arial" w:eastAsia="Calibri" w:hAnsi="Arial" w:cs="Arial"/>
          <w:bCs/>
        </w:rPr>
      </w:pPr>
      <w:r>
        <w:rPr>
          <w:rFonts w:ascii="Arial" w:eastAsia="Calibri" w:hAnsi="Arial" w:cs="Arial"/>
          <w:bCs/>
        </w:rPr>
        <w:t>Further to the above, the office continue</w:t>
      </w:r>
      <w:r w:rsidR="000E1704">
        <w:rPr>
          <w:rFonts w:ascii="Arial" w:eastAsia="Calibri" w:hAnsi="Arial" w:cs="Arial"/>
          <w:bCs/>
        </w:rPr>
        <w:t>s</w:t>
      </w:r>
      <w:r>
        <w:rPr>
          <w:rFonts w:ascii="Arial" w:eastAsia="Calibri" w:hAnsi="Arial" w:cs="Arial"/>
          <w:bCs/>
        </w:rPr>
        <w:t xml:space="preserve"> to provide existing clients with services at the current office accommodation.</w:t>
      </w:r>
    </w:p>
    <w:p w14:paraId="0F70E66D" w14:textId="77777777" w:rsidR="005F3D35" w:rsidRDefault="005F3D35" w:rsidP="005F3D35">
      <w:pPr>
        <w:spacing w:line="264" w:lineRule="auto"/>
        <w:jc w:val="both"/>
        <w:rPr>
          <w:sz w:val="2"/>
          <w:szCs w:val="2"/>
          <w:lang w:val="en-ZA"/>
        </w:rPr>
      </w:pPr>
    </w:p>
    <w:p w14:paraId="7944AFDF" w14:textId="77777777" w:rsidR="005F3D35" w:rsidRDefault="005F3D35" w:rsidP="005F3D35">
      <w:pPr>
        <w:jc w:val="both"/>
        <w:rPr>
          <w:sz w:val="2"/>
          <w:szCs w:val="2"/>
          <w:lang w:val="en-ZA"/>
        </w:rPr>
      </w:pPr>
    </w:p>
    <w:tbl>
      <w:tblPr>
        <w:tblpPr w:leftFromText="180" w:rightFromText="180" w:vertAnchor="text" w:horzAnchor="margin" w:tblpXSpec="center" w:tblpY="217"/>
        <w:tblOverlap w:val="never"/>
        <w:tblW w:w="0" w:type="auto"/>
        <w:tblBorders>
          <w:insideH w:val="single" w:sz="4" w:space="0" w:color="auto"/>
          <w:insideV w:val="single" w:sz="4" w:space="0" w:color="auto"/>
        </w:tblBorders>
        <w:tblLook w:val="01E0" w:firstRow="1" w:lastRow="1" w:firstColumn="1" w:lastColumn="1" w:noHBand="0" w:noVBand="0"/>
      </w:tblPr>
      <w:tblGrid>
        <w:gridCol w:w="8622"/>
      </w:tblGrid>
      <w:tr w:rsidR="005F3D35" w:rsidRPr="00946230" w14:paraId="5B701BAD" w14:textId="77777777" w:rsidTr="00572958">
        <w:tc>
          <w:tcPr>
            <w:tcW w:w="8640" w:type="dxa"/>
            <w:shd w:val="clear" w:color="auto" w:fill="auto"/>
          </w:tcPr>
          <w:p w14:paraId="5B1BFAC4" w14:textId="77777777" w:rsidR="005F3D35" w:rsidRPr="00946230" w:rsidRDefault="005F3D35" w:rsidP="00572958">
            <w:pPr>
              <w:rPr>
                <w:rFonts w:ascii="Arial" w:hAnsi="Arial" w:cs="Arial"/>
                <w:sz w:val="12"/>
                <w:szCs w:val="12"/>
                <w:lang w:val="en-ZA"/>
              </w:rPr>
            </w:pPr>
          </w:p>
        </w:tc>
      </w:tr>
    </w:tbl>
    <w:p w14:paraId="76E299F4" w14:textId="77777777" w:rsidR="005F3D35" w:rsidRPr="007B5F28" w:rsidRDefault="005F3D35" w:rsidP="005F3D35">
      <w:pPr>
        <w:spacing w:line="264" w:lineRule="auto"/>
        <w:jc w:val="both"/>
        <w:rPr>
          <w:rFonts w:ascii="Arial" w:eastAsia="Calibri" w:hAnsi="Arial" w:cs="Arial"/>
          <w:b/>
          <w:bCs/>
          <w:u w:val="single"/>
        </w:rPr>
      </w:pPr>
      <w:r w:rsidRPr="007B5F28">
        <w:rPr>
          <w:rFonts w:ascii="Arial" w:eastAsia="Calibri" w:hAnsi="Arial" w:cs="Arial"/>
          <w:b/>
          <w:bCs/>
          <w:u w:val="single"/>
        </w:rPr>
        <w:t xml:space="preserve">Operational Budget </w:t>
      </w:r>
    </w:p>
    <w:p w14:paraId="6E392B3C" w14:textId="77777777" w:rsidR="005F3D35" w:rsidRDefault="005F3D35" w:rsidP="005F3D35">
      <w:pPr>
        <w:tabs>
          <w:tab w:val="left" w:pos="4402"/>
        </w:tabs>
        <w:spacing w:line="264" w:lineRule="auto"/>
        <w:jc w:val="both"/>
        <w:rPr>
          <w:rFonts w:ascii="Arial" w:hAnsi="Arial" w:cs="Arial"/>
          <w:lang w:val="en-ZA"/>
        </w:rPr>
      </w:pPr>
      <w:r>
        <w:rPr>
          <w:rFonts w:ascii="Arial" w:eastAsia="Calibri" w:hAnsi="Arial" w:cs="Arial"/>
          <w:bCs/>
        </w:rPr>
        <w:tab/>
      </w:r>
    </w:p>
    <w:p w14:paraId="223C97E8" w14:textId="77777777" w:rsidR="005F3D35" w:rsidRDefault="005F3D35" w:rsidP="005F3D35">
      <w:pPr>
        <w:spacing w:line="264" w:lineRule="auto"/>
        <w:jc w:val="both"/>
        <w:rPr>
          <w:rFonts w:ascii="Arial" w:eastAsia="Calibri" w:hAnsi="Arial" w:cs="Arial"/>
          <w:bCs/>
        </w:rPr>
      </w:pPr>
      <w:r>
        <w:rPr>
          <w:rFonts w:ascii="Arial" w:eastAsia="Calibri" w:hAnsi="Arial" w:cs="Arial"/>
          <w:bCs/>
        </w:rPr>
        <w:t xml:space="preserve">The Department has determined that the centre will be able to function within the ambits of the current base line allocation. </w:t>
      </w:r>
    </w:p>
    <w:p w14:paraId="099C638B" w14:textId="77777777" w:rsidR="005F3D35" w:rsidRDefault="005F3D35" w:rsidP="005F3D35">
      <w:pPr>
        <w:spacing w:line="264" w:lineRule="auto"/>
        <w:jc w:val="both"/>
        <w:rPr>
          <w:rFonts w:ascii="Arial" w:eastAsia="Calibri" w:hAnsi="Arial" w:cs="Arial"/>
          <w:bCs/>
        </w:rPr>
      </w:pPr>
    </w:p>
    <w:p w14:paraId="4FA3912E" w14:textId="77777777" w:rsidR="000E1704" w:rsidRDefault="000E1704" w:rsidP="005F3D35">
      <w:pPr>
        <w:spacing w:line="264" w:lineRule="auto"/>
        <w:jc w:val="both"/>
        <w:rPr>
          <w:rFonts w:ascii="Arial" w:eastAsia="Calibri" w:hAnsi="Arial" w:cs="Arial"/>
          <w:bCs/>
        </w:rPr>
      </w:pPr>
    </w:p>
    <w:p w14:paraId="510568B4" w14:textId="77777777" w:rsidR="000E1704" w:rsidRDefault="000E1704" w:rsidP="005F3D35">
      <w:pPr>
        <w:spacing w:line="264" w:lineRule="auto"/>
        <w:jc w:val="both"/>
        <w:rPr>
          <w:rFonts w:ascii="Arial" w:eastAsia="Calibri" w:hAnsi="Arial" w:cs="Arial"/>
          <w:bCs/>
        </w:rPr>
      </w:pPr>
    </w:p>
    <w:p w14:paraId="578E96CF" w14:textId="77777777" w:rsidR="000E1704" w:rsidRDefault="000E1704" w:rsidP="005F3D35">
      <w:pPr>
        <w:spacing w:line="264" w:lineRule="auto"/>
        <w:jc w:val="both"/>
        <w:rPr>
          <w:rFonts w:ascii="Arial" w:eastAsia="Calibri" w:hAnsi="Arial" w:cs="Arial"/>
          <w:bCs/>
        </w:rPr>
      </w:pPr>
    </w:p>
    <w:p w14:paraId="143C5FBD" w14:textId="77777777" w:rsidR="001F159A" w:rsidRDefault="001F159A" w:rsidP="005F3D35">
      <w:pPr>
        <w:spacing w:line="264" w:lineRule="auto"/>
        <w:jc w:val="both"/>
        <w:rPr>
          <w:rFonts w:ascii="Arial" w:eastAsia="Calibri" w:hAnsi="Arial" w:cs="Arial"/>
          <w:bCs/>
        </w:rPr>
      </w:pPr>
    </w:p>
    <w:p w14:paraId="6B3195A6" w14:textId="77777777" w:rsidR="001F159A" w:rsidRDefault="001F159A" w:rsidP="005F3D35">
      <w:pPr>
        <w:spacing w:line="264" w:lineRule="auto"/>
        <w:jc w:val="both"/>
        <w:rPr>
          <w:rFonts w:ascii="Arial" w:eastAsia="Calibri" w:hAnsi="Arial" w:cs="Arial"/>
          <w:bCs/>
        </w:rPr>
      </w:pPr>
    </w:p>
    <w:p w14:paraId="6846DFCA" w14:textId="77777777" w:rsidR="005F3D35" w:rsidRDefault="005F3D35" w:rsidP="005F3D35">
      <w:pPr>
        <w:spacing w:line="264" w:lineRule="auto"/>
        <w:jc w:val="both"/>
        <w:rPr>
          <w:rFonts w:ascii="Arial" w:eastAsia="Calibri" w:hAnsi="Arial" w:cs="Arial"/>
          <w:b/>
          <w:bCs/>
          <w:u w:val="single"/>
        </w:rPr>
      </w:pP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0078029C">
        <w:rPr>
          <w:rFonts w:ascii="Arial" w:eastAsia="Calibri" w:hAnsi="Arial" w:cs="Arial"/>
          <w:bCs/>
        </w:rPr>
        <w:t xml:space="preserve">      </w:t>
      </w:r>
    </w:p>
    <w:p w14:paraId="0204242D" w14:textId="77777777" w:rsidR="005F3D35" w:rsidRPr="007B5F28" w:rsidRDefault="005F3D35" w:rsidP="005F3D35">
      <w:pPr>
        <w:spacing w:line="264" w:lineRule="auto"/>
        <w:jc w:val="both"/>
        <w:rPr>
          <w:rFonts w:ascii="Arial" w:eastAsia="Calibri" w:hAnsi="Arial" w:cs="Arial"/>
          <w:b/>
          <w:bCs/>
          <w:u w:val="single"/>
        </w:rPr>
      </w:pPr>
      <w:r w:rsidRPr="007B5F28">
        <w:rPr>
          <w:rFonts w:ascii="Arial" w:eastAsia="Calibri" w:hAnsi="Arial" w:cs="Arial"/>
          <w:b/>
          <w:bCs/>
          <w:u w:val="single"/>
        </w:rPr>
        <w:t xml:space="preserve">Personnel </w:t>
      </w:r>
    </w:p>
    <w:p w14:paraId="73EC7303" w14:textId="77777777" w:rsidR="005F3D35" w:rsidRDefault="005F3D35" w:rsidP="005F3D35">
      <w:pPr>
        <w:spacing w:line="264" w:lineRule="auto"/>
        <w:jc w:val="both"/>
        <w:rPr>
          <w:rFonts w:ascii="Arial" w:eastAsia="Calibri" w:hAnsi="Arial" w:cs="Arial"/>
          <w:bCs/>
        </w:rPr>
      </w:pPr>
    </w:p>
    <w:p w14:paraId="510541C9" w14:textId="77777777" w:rsidR="005F3D35" w:rsidRPr="007B5F28" w:rsidRDefault="005F3D35" w:rsidP="005F3D35">
      <w:pPr>
        <w:spacing w:line="264" w:lineRule="auto"/>
        <w:jc w:val="both"/>
        <w:rPr>
          <w:rFonts w:ascii="Arial" w:eastAsia="Calibri" w:hAnsi="Arial" w:cs="Arial"/>
          <w:b/>
          <w:bCs/>
        </w:rPr>
      </w:pPr>
      <w:r>
        <w:rPr>
          <w:rFonts w:ascii="Arial" w:eastAsia="Calibri" w:hAnsi="Arial" w:cs="Arial"/>
          <w:bCs/>
        </w:rPr>
        <w:t xml:space="preserve">The Cape Town RRO is currently operating at 37.5% of the approved establishment. The funding and filing of key posts is being prioritized. Considering the reduction in volumes the Department is of the opinion that the funding and filling of posts should not delay the opening of the office once suitable accommodation has been secured. </w:t>
      </w:r>
      <w:r w:rsidRPr="007B5F28">
        <w:rPr>
          <w:rFonts w:ascii="Arial" w:eastAsia="Calibri" w:hAnsi="Arial" w:cs="Arial"/>
          <w:bCs/>
        </w:rPr>
        <w:t xml:space="preserve">   </w:t>
      </w:r>
    </w:p>
    <w:p w14:paraId="51B9AAFD" w14:textId="77777777" w:rsidR="005F3D35" w:rsidRPr="009A092C" w:rsidRDefault="005F3D35" w:rsidP="005F3D35">
      <w:pPr>
        <w:spacing w:line="264" w:lineRule="auto"/>
        <w:rPr>
          <w:rFonts w:ascii="Arial" w:eastAsia="Calibri" w:hAnsi="Arial" w:cs="Arial"/>
          <w:bCs/>
        </w:rPr>
      </w:pPr>
    </w:p>
    <w:p w14:paraId="5AE1861F" w14:textId="77777777" w:rsidR="005F3D35" w:rsidRPr="007B5F28" w:rsidRDefault="005F3D35" w:rsidP="005F3D35">
      <w:pPr>
        <w:spacing w:line="264" w:lineRule="auto"/>
        <w:jc w:val="both"/>
        <w:rPr>
          <w:rFonts w:ascii="Arial" w:eastAsia="Calibri" w:hAnsi="Arial" w:cs="Arial"/>
          <w:b/>
          <w:bCs/>
          <w:u w:val="single"/>
        </w:rPr>
      </w:pPr>
      <w:proofErr w:type="gramStart"/>
      <w:r w:rsidRPr="007B5F28">
        <w:rPr>
          <w:rFonts w:ascii="Arial" w:eastAsia="Calibri" w:hAnsi="Arial" w:cs="Arial"/>
          <w:b/>
          <w:bCs/>
          <w:u w:val="single"/>
        </w:rPr>
        <w:t>IT</w:t>
      </w:r>
      <w:proofErr w:type="gramEnd"/>
      <w:r w:rsidRPr="007B5F28">
        <w:rPr>
          <w:rFonts w:ascii="Arial" w:eastAsia="Calibri" w:hAnsi="Arial" w:cs="Arial"/>
          <w:b/>
          <w:bCs/>
          <w:u w:val="single"/>
        </w:rPr>
        <w:t xml:space="preserve"> Equipment </w:t>
      </w:r>
    </w:p>
    <w:p w14:paraId="18E347C7" w14:textId="77777777" w:rsidR="005F3D35" w:rsidRDefault="005F3D35" w:rsidP="005F3D35">
      <w:pPr>
        <w:spacing w:line="264" w:lineRule="auto"/>
        <w:jc w:val="both"/>
        <w:rPr>
          <w:rFonts w:ascii="Arial" w:eastAsia="Calibri" w:hAnsi="Arial" w:cs="Arial"/>
          <w:bCs/>
        </w:rPr>
      </w:pPr>
    </w:p>
    <w:p w14:paraId="62456213" w14:textId="77777777" w:rsidR="005F3D35" w:rsidRDefault="005F3D35" w:rsidP="005F3D35">
      <w:pPr>
        <w:spacing w:line="264" w:lineRule="auto"/>
        <w:jc w:val="both"/>
        <w:rPr>
          <w:rFonts w:ascii="Arial" w:eastAsia="Calibri" w:hAnsi="Arial" w:cs="Arial"/>
          <w:bCs/>
        </w:rPr>
      </w:pPr>
      <w:r>
        <w:rPr>
          <w:rFonts w:ascii="Arial" w:eastAsia="Calibri" w:hAnsi="Arial" w:cs="Arial"/>
          <w:bCs/>
        </w:rPr>
        <w:t>5 fully equipped RRO computers have been procured and installed at the current CTRRO to provide capacity for the capturing of newcomers. The replacement of other computer equipment will only be done once occupation of permanent accommodation has been taken.</w:t>
      </w:r>
    </w:p>
    <w:p w14:paraId="1AD0695E" w14:textId="77777777" w:rsidR="005F3D35" w:rsidRDefault="005F3D35" w:rsidP="005F3D35">
      <w:pPr>
        <w:spacing w:line="264" w:lineRule="auto"/>
        <w:jc w:val="both"/>
        <w:rPr>
          <w:rFonts w:ascii="Arial" w:eastAsia="Calibri" w:hAnsi="Arial" w:cs="Arial"/>
          <w:b/>
          <w:bCs/>
          <w:u w:val="single"/>
        </w:rPr>
      </w:pPr>
    </w:p>
    <w:p w14:paraId="4866F54B" w14:textId="77777777" w:rsidR="005F3D35" w:rsidRDefault="001F33EF" w:rsidP="005F3D35">
      <w:pPr>
        <w:spacing w:line="264" w:lineRule="auto"/>
        <w:jc w:val="both"/>
        <w:rPr>
          <w:rFonts w:ascii="Arial" w:eastAsia="Calibri" w:hAnsi="Arial" w:cs="Arial"/>
          <w:bCs/>
        </w:rPr>
      </w:pPr>
      <w:r w:rsidRPr="001F33EF">
        <w:rPr>
          <w:rFonts w:ascii="Arial" w:eastAsia="Calibri" w:hAnsi="Arial" w:cs="Arial"/>
          <w:b/>
          <w:bCs/>
        </w:rPr>
        <w:t>2(a) and (b)</w:t>
      </w:r>
      <w:r>
        <w:rPr>
          <w:rFonts w:ascii="Arial" w:eastAsia="Calibri" w:hAnsi="Arial" w:cs="Arial"/>
          <w:b/>
          <w:bCs/>
        </w:rPr>
        <w:t xml:space="preserve"> </w:t>
      </w:r>
      <w:r>
        <w:rPr>
          <w:rFonts w:ascii="Arial" w:eastAsia="Calibri" w:hAnsi="Arial" w:cs="Arial"/>
          <w:bCs/>
        </w:rPr>
        <w:t xml:space="preserve">The Institution of the Department’s rescission application has suspended the operation of the initial court order. </w:t>
      </w:r>
    </w:p>
    <w:p w14:paraId="30DD164A" w14:textId="77777777" w:rsidR="001F33EF" w:rsidRPr="001F33EF" w:rsidRDefault="001F33EF" w:rsidP="005F3D35">
      <w:pPr>
        <w:spacing w:line="264" w:lineRule="auto"/>
        <w:jc w:val="both"/>
        <w:rPr>
          <w:rFonts w:ascii="Arial" w:eastAsia="Calibri" w:hAnsi="Arial" w:cs="Arial"/>
          <w:bCs/>
        </w:rPr>
      </w:pPr>
    </w:p>
    <w:p w14:paraId="2CACD8C5" w14:textId="77777777" w:rsidR="0078029C" w:rsidRDefault="0078029C" w:rsidP="005F3D35">
      <w:pPr>
        <w:spacing w:line="264" w:lineRule="auto"/>
        <w:jc w:val="both"/>
        <w:rPr>
          <w:rFonts w:ascii="Arial" w:eastAsia="Calibri" w:hAnsi="Arial" w:cs="Arial"/>
          <w:bCs/>
        </w:rPr>
      </w:pPr>
      <w:r w:rsidRPr="0078029C">
        <w:rPr>
          <w:rFonts w:ascii="Arial" w:eastAsia="Calibri" w:hAnsi="Arial" w:cs="Arial"/>
          <w:b/>
          <w:bCs/>
        </w:rPr>
        <w:t>2</w:t>
      </w:r>
      <w:r>
        <w:rPr>
          <w:rFonts w:ascii="Arial" w:eastAsia="Calibri" w:hAnsi="Arial" w:cs="Arial"/>
          <w:b/>
          <w:bCs/>
        </w:rPr>
        <w:t xml:space="preserve"> (c) </w:t>
      </w:r>
      <w:r w:rsidRPr="0078029C">
        <w:rPr>
          <w:rFonts w:ascii="Arial" w:eastAsia="Calibri" w:hAnsi="Arial" w:cs="Arial"/>
          <w:bCs/>
        </w:rPr>
        <w:t>The</w:t>
      </w:r>
      <w:r>
        <w:rPr>
          <w:rFonts w:ascii="Arial" w:eastAsia="Calibri" w:hAnsi="Arial" w:cs="Arial"/>
          <w:b/>
          <w:bCs/>
        </w:rPr>
        <w:t xml:space="preserve"> </w:t>
      </w:r>
      <w:r w:rsidRPr="0078029C">
        <w:rPr>
          <w:rFonts w:ascii="Arial" w:eastAsia="Calibri" w:hAnsi="Arial" w:cs="Arial"/>
          <w:bCs/>
        </w:rPr>
        <w:t xml:space="preserve">Department </w:t>
      </w:r>
      <w:r>
        <w:rPr>
          <w:rFonts w:ascii="Arial" w:eastAsia="Calibri" w:hAnsi="Arial" w:cs="Arial"/>
          <w:bCs/>
        </w:rPr>
        <w:t>will re-open the Cape Town Refugee Reception Office as soon as DPW has finalised all the necessary in the allocation of suitable office accommodation.</w:t>
      </w:r>
    </w:p>
    <w:p w14:paraId="7E04C6C5" w14:textId="77777777" w:rsidR="000E1704" w:rsidRDefault="000E1704" w:rsidP="005F3D35">
      <w:pPr>
        <w:spacing w:line="264" w:lineRule="auto"/>
        <w:jc w:val="both"/>
        <w:rPr>
          <w:rFonts w:ascii="Arial" w:eastAsia="Calibri" w:hAnsi="Arial" w:cs="Arial"/>
          <w:b/>
          <w:bCs/>
        </w:rPr>
      </w:pPr>
    </w:p>
    <w:p w14:paraId="184A5F2B" w14:textId="77777777" w:rsidR="0078029C" w:rsidRDefault="0078029C" w:rsidP="005F3D35">
      <w:pPr>
        <w:spacing w:line="264" w:lineRule="auto"/>
        <w:jc w:val="both"/>
        <w:rPr>
          <w:rFonts w:ascii="Arial" w:eastAsia="Calibri" w:hAnsi="Arial" w:cs="Arial"/>
          <w:bCs/>
        </w:rPr>
      </w:pPr>
      <w:r w:rsidRPr="009E28B3">
        <w:rPr>
          <w:rFonts w:ascii="Arial" w:eastAsia="Calibri" w:hAnsi="Arial" w:cs="Arial"/>
          <w:b/>
          <w:bCs/>
        </w:rPr>
        <w:t>2</w:t>
      </w:r>
      <w:r w:rsidR="009E28B3" w:rsidRPr="009E28B3">
        <w:rPr>
          <w:rFonts w:ascii="Arial" w:eastAsia="Calibri" w:hAnsi="Arial" w:cs="Arial"/>
          <w:b/>
          <w:bCs/>
        </w:rPr>
        <w:t>(d)</w:t>
      </w:r>
      <w:r w:rsidR="009E28B3">
        <w:rPr>
          <w:rFonts w:ascii="Arial" w:eastAsia="Calibri" w:hAnsi="Arial" w:cs="Arial"/>
          <w:bCs/>
        </w:rPr>
        <w:t xml:space="preserve"> The Constitutional Court Order was received by the Department on 14 December 2018. The Department wrote to Scalabrini in January 2018 requesting an extension to file its report and the Department has already submitted two reports to the Scalabrini Centre detailing the steps taken in compliance with Constitutional Court.</w:t>
      </w:r>
    </w:p>
    <w:p w14:paraId="7831A1CD" w14:textId="77777777" w:rsidR="001F33EF" w:rsidRDefault="001F33EF" w:rsidP="005F3D35">
      <w:pPr>
        <w:spacing w:line="264" w:lineRule="auto"/>
        <w:jc w:val="both"/>
        <w:rPr>
          <w:rFonts w:ascii="Arial" w:eastAsia="Calibri" w:hAnsi="Arial" w:cs="Arial"/>
          <w:bCs/>
        </w:rPr>
      </w:pPr>
    </w:p>
    <w:p w14:paraId="2319239F" w14:textId="77777777" w:rsidR="001F33EF" w:rsidRPr="001F33EF" w:rsidRDefault="001F33EF" w:rsidP="005F3D35">
      <w:pPr>
        <w:spacing w:line="264" w:lineRule="auto"/>
        <w:jc w:val="both"/>
        <w:rPr>
          <w:rFonts w:ascii="Arial" w:eastAsia="Calibri" w:hAnsi="Arial" w:cs="Arial"/>
          <w:bCs/>
        </w:rPr>
      </w:pPr>
      <w:r w:rsidRPr="001F33EF">
        <w:rPr>
          <w:rFonts w:ascii="Arial" w:eastAsia="Calibri" w:hAnsi="Arial" w:cs="Arial"/>
          <w:b/>
          <w:bCs/>
        </w:rPr>
        <w:t>3</w:t>
      </w:r>
      <w:r>
        <w:rPr>
          <w:rFonts w:ascii="Arial" w:eastAsia="Calibri" w:hAnsi="Arial" w:cs="Arial"/>
          <w:b/>
          <w:bCs/>
        </w:rPr>
        <w:t xml:space="preserve"> </w:t>
      </w:r>
      <w:r>
        <w:rPr>
          <w:rFonts w:ascii="Arial" w:eastAsia="Calibri" w:hAnsi="Arial" w:cs="Arial"/>
          <w:bCs/>
        </w:rPr>
        <w:t xml:space="preserve">The Cuban child was granted a permanent residence permit on 22 April 2016. </w:t>
      </w:r>
    </w:p>
    <w:p w14:paraId="16783ED7" w14:textId="77777777" w:rsidR="00AC39B0" w:rsidRDefault="00AC39B0" w:rsidP="00C3335E">
      <w:pPr>
        <w:tabs>
          <w:tab w:val="left" w:pos="432"/>
          <w:tab w:val="left" w:pos="864"/>
        </w:tabs>
        <w:spacing w:line="320" w:lineRule="exact"/>
        <w:jc w:val="both"/>
        <w:rPr>
          <w:rFonts w:ascii="Arial" w:hAnsi="Arial" w:cs="Arial"/>
        </w:rPr>
      </w:pPr>
    </w:p>
    <w:sectPr w:rsidR="00AC39B0"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5ECAF" w14:textId="77777777" w:rsidR="0045764B" w:rsidRDefault="0045764B">
      <w:r>
        <w:separator/>
      </w:r>
    </w:p>
  </w:endnote>
  <w:endnote w:type="continuationSeparator" w:id="0">
    <w:p w14:paraId="20A72BA3" w14:textId="77777777" w:rsidR="0045764B" w:rsidRDefault="0045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F9C69" w14:textId="77777777" w:rsidR="0045764B" w:rsidRDefault="0045764B">
      <w:r>
        <w:separator/>
      </w:r>
    </w:p>
  </w:footnote>
  <w:footnote w:type="continuationSeparator" w:id="0">
    <w:p w14:paraId="060A76CF" w14:textId="77777777" w:rsidR="0045764B" w:rsidRDefault="00457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1D3DD" w14:textId="77777777"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297BD5" w14:textId="77777777" w:rsidR="007914E8" w:rsidRDefault="00791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04A7F" w14:textId="77777777"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4A4E">
      <w:rPr>
        <w:rStyle w:val="PageNumber"/>
        <w:noProof/>
      </w:rPr>
      <w:t>3</w:t>
    </w:r>
    <w:r>
      <w:rPr>
        <w:rStyle w:val="PageNumber"/>
      </w:rPr>
      <w:fldChar w:fldCharType="end"/>
    </w:r>
  </w:p>
  <w:p w14:paraId="5446C7B9" w14:textId="77777777" w:rsidR="007914E8" w:rsidRDefault="00791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15:restartNumberingAfterBreak="0">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5"/>
  </w:num>
  <w:num w:numId="4">
    <w:abstractNumId w:val="20"/>
  </w:num>
  <w:num w:numId="5">
    <w:abstractNumId w:val="3"/>
  </w:num>
  <w:num w:numId="6">
    <w:abstractNumId w:val="19"/>
  </w:num>
  <w:num w:numId="7">
    <w:abstractNumId w:val="29"/>
  </w:num>
  <w:num w:numId="8">
    <w:abstractNumId w:val="35"/>
  </w:num>
  <w:num w:numId="9">
    <w:abstractNumId w:val="11"/>
  </w:num>
  <w:num w:numId="10">
    <w:abstractNumId w:val="33"/>
  </w:num>
  <w:num w:numId="11">
    <w:abstractNumId w:val="14"/>
  </w:num>
  <w:num w:numId="12">
    <w:abstractNumId w:val="6"/>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num>
  <w:num w:numId="19">
    <w:abstractNumId w:val="28"/>
  </w:num>
  <w:num w:numId="20">
    <w:abstractNumId w:val="10"/>
  </w:num>
  <w:num w:numId="21">
    <w:abstractNumId w:val="26"/>
  </w:num>
  <w:num w:numId="22">
    <w:abstractNumId w:val="0"/>
  </w:num>
  <w:num w:numId="23">
    <w:abstractNumId w:val="9"/>
  </w:num>
  <w:num w:numId="24">
    <w:abstractNumId w:val="30"/>
  </w:num>
  <w:num w:numId="25">
    <w:abstractNumId w:val="4"/>
  </w:num>
  <w:num w:numId="26">
    <w:abstractNumId w:val="16"/>
  </w:num>
  <w:num w:numId="27">
    <w:abstractNumId w:val="22"/>
  </w:num>
  <w:num w:numId="28">
    <w:abstractNumId w:val="13"/>
  </w:num>
  <w:num w:numId="29">
    <w:abstractNumId w:val="27"/>
  </w:num>
  <w:num w:numId="30">
    <w:abstractNumId w:val="18"/>
  </w:num>
  <w:num w:numId="31">
    <w:abstractNumId w:val="8"/>
  </w:num>
  <w:num w:numId="32">
    <w:abstractNumId w:val="12"/>
  </w:num>
  <w:num w:numId="33">
    <w:abstractNumId w:val="21"/>
  </w:num>
  <w:num w:numId="34">
    <w:abstractNumId w:val="34"/>
  </w:num>
  <w:num w:numId="35">
    <w:abstractNumId w:val="1"/>
  </w:num>
  <w:num w:numId="36">
    <w:abstractNumId w:val="31"/>
  </w:num>
  <w:num w:numId="37">
    <w:abstractNumId w:val="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1704"/>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572"/>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159A"/>
    <w:rsid w:val="001F2203"/>
    <w:rsid w:val="001F33EF"/>
    <w:rsid w:val="001F406D"/>
    <w:rsid w:val="001F430C"/>
    <w:rsid w:val="001F5563"/>
    <w:rsid w:val="001F5DD8"/>
    <w:rsid w:val="001F634E"/>
    <w:rsid w:val="001F69FA"/>
    <w:rsid w:val="001F6C9D"/>
    <w:rsid w:val="001F6F11"/>
    <w:rsid w:val="001F7372"/>
    <w:rsid w:val="002003CB"/>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2662"/>
    <w:rsid w:val="003A3045"/>
    <w:rsid w:val="003A3401"/>
    <w:rsid w:val="003A4CD4"/>
    <w:rsid w:val="003A4F73"/>
    <w:rsid w:val="003A51A7"/>
    <w:rsid w:val="003A5260"/>
    <w:rsid w:val="003A5569"/>
    <w:rsid w:val="003A68CF"/>
    <w:rsid w:val="003A69AF"/>
    <w:rsid w:val="003A6EC4"/>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1D6E"/>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5764B"/>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2958"/>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3D35"/>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34A4E"/>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770B5"/>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391"/>
    <w:rsid w:val="0077499D"/>
    <w:rsid w:val="007763D1"/>
    <w:rsid w:val="00777200"/>
    <w:rsid w:val="00777CA1"/>
    <w:rsid w:val="0078029C"/>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2818"/>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87122"/>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28B3"/>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1E52"/>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4E3B"/>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0C41"/>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42E7"/>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0933"/>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161"/>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3F7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20E2"/>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DF440"/>
  <w15:docId w15:val="{A5706D54-4912-4118-86FA-9CCA7327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9A86-0671-4BC8-89F5-F78C6E84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Michael  Plaatjies</cp:lastModifiedBy>
  <cp:revision>2</cp:revision>
  <cp:lastPrinted>2018-05-07T07:02:00Z</cp:lastPrinted>
  <dcterms:created xsi:type="dcterms:W3CDTF">2018-05-14T15:14:00Z</dcterms:created>
  <dcterms:modified xsi:type="dcterms:W3CDTF">2018-05-14T15:14:00Z</dcterms:modified>
</cp:coreProperties>
</file>